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1D3" w:rsidRPr="00AE74FC" w:rsidRDefault="00F92E60" w:rsidP="006222B6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Supplementary </w:t>
      </w:r>
      <w:r w:rsidR="002911D3" w:rsidRPr="00AE74FC">
        <w:rPr>
          <w:rFonts w:ascii="Arial" w:hAnsi="Arial" w:cs="Arial"/>
          <w:b/>
          <w:sz w:val="20"/>
          <w:szCs w:val="20"/>
        </w:rPr>
        <w:t xml:space="preserve">Table </w:t>
      </w:r>
      <w:r w:rsidR="002911D3">
        <w:rPr>
          <w:rFonts w:ascii="Arial" w:hAnsi="Arial" w:cs="Arial"/>
          <w:b/>
          <w:sz w:val="20"/>
          <w:szCs w:val="20"/>
        </w:rPr>
        <w:t>1</w:t>
      </w:r>
      <w:r w:rsidR="00C9122D">
        <w:rPr>
          <w:rFonts w:ascii="Arial" w:hAnsi="Arial" w:cs="Arial"/>
          <w:b/>
          <w:sz w:val="20"/>
          <w:szCs w:val="20"/>
        </w:rPr>
        <w:t xml:space="preserve"> </w:t>
      </w:r>
      <w:r w:rsidR="00D06430">
        <w:rPr>
          <w:rFonts w:ascii="Arial" w:hAnsi="Arial" w:cs="Arial"/>
          <w:sz w:val="20"/>
          <w:szCs w:val="20"/>
        </w:rPr>
        <w:t>(Related to Figure 3A</w:t>
      </w:r>
      <w:r w:rsidR="00C9122D" w:rsidRPr="00C9122D">
        <w:rPr>
          <w:rFonts w:ascii="Arial" w:hAnsi="Arial" w:cs="Arial"/>
          <w:sz w:val="20"/>
          <w:szCs w:val="20"/>
        </w:rPr>
        <w:t>)</w:t>
      </w:r>
      <w:r w:rsidR="002F02BF">
        <w:rPr>
          <w:rFonts w:ascii="Arial" w:hAnsi="Arial" w:cs="Arial"/>
          <w:sz w:val="20"/>
          <w:szCs w:val="20"/>
        </w:rPr>
        <w:t>.</w:t>
      </w:r>
      <w:r w:rsidR="002911D3" w:rsidRPr="00C9122D">
        <w:rPr>
          <w:rFonts w:ascii="Arial" w:hAnsi="Arial" w:cs="Arial"/>
          <w:sz w:val="20"/>
          <w:szCs w:val="20"/>
        </w:rPr>
        <w:t xml:space="preserve"> </w:t>
      </w:r>
      <w:r w:rsidR="002911D3" w:rsidRPr="0067744B">
        <w:rPr>
          <w:rFonts w:ascii="Arial" w:hAnsi="Arial" w:cs="Arial"/>
          <w:sz w:val="20"/>
          <w:szCs w:val="20"/>
        </w:rPr>
        <w:t>Carbonylated</w:t>
      </w:r>
      <w:r w:rsidR="002911D3" w:rsidRPr="00AE74FC">
        <w:rPr>
          <w:rFonts w:ascii="Arial" w:hAnsi="Arial" w:cs="Arial"/>
          <w:sz w:val="20"/>
          <w:szCs w:val="20"/>
        </w:rPr>
        <w:t xml:space="preserve"> proteins in senescent </w:t>
      </w:r>
      <w:r w:rsidR="002265F2">
        <w:rPr>
          <w:rFonts w:ascii="Arial" w:hAnsi="Arial" w:cs="Arial"/>
          <w:sz w:val="20"/>
          <w:szCs w:val="20"/>
        </w:rPr>
        <w:t>myoblasts</w:t>
      </w:r>
    </w:p>
    <w:tbl>
      <w:tblPr>
        <w:tblW w:w="14958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18"/>
        <w:gridCol w:w="4800"/>
        <w:gridCol w:w="1210"/>
        <w:gridCol w:w="880"/>
        <w:gridCol w:w="1210"/>
        <w:gridCol w:w="1100"/>
        <w:gridCol w:w="1320"/>
        <w:gridCol w:w="1430"/>
        <w:gridCol w:w="1210"/>
        <w:gridCol w:w="880"/>
      </w:tblGrid>
      <w:tr w:rsidR="002911D3" w:rsidRPr="00AE74FC">
        <w:trPr>
          <w:trHeight w:val="411"/>
        </w:trPr>
        <w:tc>
          <w:tcPr>
            <w:tcW w:w="918" w:type="dxa"/>
            <w:tcBorders>
              <w:left w:val="nil"/>
              <w:right w:val="nil"/>
            </w:tcBorders>
            <w:vAlign w:val="center"/>
          </w:tcPr>
          <w:p w:rsidR="002911D3" w:rsidRPr="00AE74FC" w:rsidRDefault="002911D3" w:rsidP="006222B6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4FC">
              <w:rPr>
                <w:rFonts w:ascii="Arial" w:hAnsi="Arial" w:cs="Arial"/>
                <w:sz w:val="20"/>
                <w:szCs w:val="20"/>
              </w:rPr>
              <w:t>Protein spot no</w:t>
            </w:r>
            <w:r w:rsidRPr="00AE74FC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800" w:type="dxa"/>
            <w:tcBorders>
              <w:left w:val="nil"/>
              <w:right w:val="nil"/>
            </w:tcBorders>
            <w:vAlign w:val="center"/>
          </w:tcPr>
          <w:p w:rsidR="002911D3" w:rsidRPr="00AE74FC" w:rsidRDefault="002911D3" w:rsidP="006D41BB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E74FC">
              <w:rPr>
                <w:rFonts w:ascii="Arial" w:hAnsi="Arial" w:cs="Arial"/>
                <w:sz w:val="20"/>
                <w:szCs w:val="20"/>
                <w:lang w:val="fr-FR"/>
              </w:rPr>
              <w:t>Identified protein name</w:t>
            </w:r>
          </w:p>
        </w:tc>
        <w:tc>
          <w:tcPr>
            <w:tcW w:w="1210" w:type="dxa"/>
            <w:tcBorders>
              <w:left w:val="nil"/>
              <w:right w:val="nil"/>
            </w:tcBorders>
            <w:vAlign w:val="center"/>
          </w:tcPr>
          <w:p w:rsidR="002911D3" w:rsidRPr="00AE74FC" w:rsidRDefault="002911D3" w:rsidP="006222B6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E74FC">
              <w:rPr>
                <w:rFonts w:ascii="Arial" w:hAnsi="Arial" w:cs="Arial"/>
                <w:sz w:val="20"/>
                <w:szCs w:val="20"/>
              </w:rPr>
              <w:t>Swiss-Prot accession no</w:t>
            </w:r>
            <w:r w:rsidRPr="00AE74FC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880" w:type="dxa"/>
            <w:tcBorders>
              <w:left w:val="nil"/>
              <w:right w:val="nil"/>
            </w:tcBorders>
            <w:vAlign w:val="center"/>
          </w:tcPr>
          <w:p w:rsidR="002911D3" w:rsidRPr="00AE74FC" w:rsidRDefault="002911D3" w:rsidP="00C346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4FC">
              <w:rPr>
                <w:rFonts w:ascii="Arial" w:hAnsi="Arial" w:cs="Arial"/>
                <w:sz w:val="20"/>
                <w:szCs w:val="20"/>
              </w:rPr>
              <w:t>Mascot score</w:t>
            </w:r>
            <w:r w:rsidRPr="00AE74FC">
              <w:rPr>
                <w:rFonts w:ascii="Arial" w:hAnsi="Arial" w:cs="Arial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210" w:type="dxa"/>
            <w:tcBorders>
              <w:left w:val="nil"/>
              <w:right w:val="nil"/>
            </w:tcBorders>
            <w:vAlign w:val="center"/>
          </w:tcPr>
          <w:p w:rsidR="002911D3" w:rsidRPr="00AE74FC" w:rsidRDefault="002911D3" w:rsidP="009453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4FC">
              <w:rPr>
                <w:rFonts w:ascii="Arial" w:hAnsi="Arial" w:cs="Arial"/>
                <w:sz w:val="20"/>
                <w:szCs w:val="20"/>
              </w:rPr>
              <w:t>Sequence coverage (%)</w:t>
            </w:r>
            <w:r w:rsidRPr="00AE74FC">
              <w:rPr>
                <w:rFonts w:ascii="Arial" w:hAnsi="Arial" w:cs="Arial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center"/>
          </w:tcPr>
          <w:p w:rsidR="002911D3" w:rsidRPr="00AE74FC" w:rsidRDefault="002911D3" w:rsidP="006222B6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4FC">
              <w:rPr>
                <w:rFonts w:ascii="Arial" w:hAnsi="Arial" w:cs="Arial"/>
                <w:sz w:val="20"/>
                <w:szCs w:val="20"/>
              </w:rPr>
              <w:t>No. of matched peptides</w:t>
            </w:r>
            <w:r w:rsidRPr="00AE74FC"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1320" w:type="dxa"/>
            <w:tcBorders>
              <w:left w:val="nil"/>
              <w:right w:val="nil"/>
            </w:tcBorders>
            <w:vAlign w:val="center"/>
          </w:tcPr>
          <w:p w:rsidR="002911D3" w:rsidRPr="00AE74FC" w:rsidRDefault="002911D3" w:rsidP="006222B6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4FC">
              <w:rPr>
                <w:rFonts w:ascii="Arial" w:hAnsi="Arial" w:cs="Arial"/>
                <w:sz w:val="20"/>
                <w:szCs w:val="20"/>
              </w:rPr>
              <w:t>No. of sequenced peptides</w:t>
            </w:r>
            <w:r w:rsidRPr="00AE74FC">
              <w:rPr>
                <w:rFonts w:ascii="Arial" w:hAnsi="Arial" w:cs="Arial"/>
                <w:sz w:val="20"/>
                <w:szCs w:val="20"/>
                <w:vertAlign w:val="superscript"/>
              </w:rPr>
              <w:t>f</w:t>
            </w:r>
          </w:p>
        </w:tc>
        <w:tc>
          <w:tcPr>
            <w:tcW w:w="1430" w:type="dxa"/>
            <w:tcBorders>
              <w:left w:val="nil"/>
              <w:right w:val="nil"/>
            </w:tcBorders>
            <w:vAlign w:val="center"/>
          </w:tcPr>
          <w:p w:rsidR="002911D3" w:rsidRPr="00AE74FC" w:rsidRDefault="002911D3" w:rsidP="006222B6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4FC">
              <w:rPr>
                <w:rFonts w:ascii="Arial" w:hAnsi="Arial" w:cs="Arial"/>
                <w:sz w:val="20"/>
                <w:szCs w:val="20"/>
              </w:rPr>
              <w:t>Theoretical protein mass (Da)</w:t>
            </w:r>
            <w:r w:rsidRPr="00AE74FC">
              <w:rPr>
                <w:rFonts w:ascii="Arial" w:hAnsi="Arial" w:cs="Arial"/>
                <w:sz w:val="20"/>
                <w:szCs w:val="20"/>
                <w:vertAlign w:val="superscript"/>
              </w:rPr>
              <w:t>g</w:t>
            </w:r>
          </w:p>
        </w:tc>
        <w:tc>
          <w:tcPr>
            <w:tcW w:w="1210" w:type="dxa"/>
            <w:tcBorders>
              <w:left w:val="nil"/>
              <w:right w:val="nil"/>
            </w:tcBorders>
            <w:vAlign w:val="center"/>
          </w:tcPr>
          <w:p w:rsidR="002911D3" w:rsidRPr="00AE74FC" w:rsidRDefault="002911D3" w:rsidP="006222B6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4FC">
              <w:rPr>
                <w:rFonts w:ascii="Arial" w:hAnsi="Arial" w:cs="Arial"/>
                <w:sz w:val="20"/>
                <w:szCs w:val="20"/>
              </w:rPr>
              <w:t>Theoretical PI</w:t>
            </w:r>
            <w:r w:rsidRPr="00AE74FC">
              <w:rPr>
                <w:rFonts w:ascii="Arial" w:hAnsi="Arial" w:cs="Arial"/>
                <w:sz w:val="20"/>
                <w:szCs w:val="20"/>
                <w:vertAlign w:val="superscript"/>
              </w:rPr>
              <w:t>h</w:t>
            </w:r>
          </w:p>
        </w:tc>
        <w:tc>
          <w:tcPr>
            <w:tcW w:w="880" w:type="dxa"/>
            <w:tcBorders>
              <w:left w:val="nil"/>
              <w:right w:val="nil"/>
            </w:tcBorders>
            <w:vAlign w:val="center"/>
          </w:tcPr>
          <w:p w:rsidR="002911D3" w:rsidRPr="00AE74FC" w:rsidRDefault="002911D3" w:rsidP="00AE74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RMI ratio</w:t>
            </w:r>
            <w:r w:rsidRPr="00AE74FC">
              <w:rPr>
                <w:rFonts w:ascii="Arial" w:hAnsi="Arial" w:cs="Arial"/>
                <w:sz w:val="20"/>
                <w:szCs w:val="20"/>
                <w:vertAlign w:val="superscript"/>
              </w:rPr>
              <w:t>i</w:t>
            </w:r>
          </w:p>
        </w:tc>
      </w:tr>
      <w:tr w:rsidR="002911D3" w:rsidRPr="00AE74FC">
        <w:trPr>
          <w:trHeight w:val="24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11D3" w:rsidRPr="00AE74FC" w:rsidRDefault="002911D3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AE74FC">
              <w:rPr>
                <w:rFonts w:ascii="Arial" w:hAnsi="Arial" w:cs="Arial"/>
                <w:bCs/>
                <w:kern w:val="24"/>
                <w:sz w:val="20"/>
                <w:szCs w:val="20"/>
              </w:rPr>
              <w:t>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2911D3" w:rsidRPr="00AE74FC" w:rsidRDefault="002911D3" w:rsidP="0067744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AE74FC">
              <w:rPr>
                <w:rFonts w:ascii="Arial" w:hAnsi="Arial" w:cs="Arial"/>
                <w:color w:val="000000"/>
                <w:sz w:val="20"/>
                <w:szCs w:val="20"/>
              </w:rPr>
              <w:t>Procollagen-lysine,2-oxoglutarate 5-dioxygenase 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911D3" w:rsidRPr="00AE74FC" w:rsidRDefault="0057539E" w:rsidP="0067744B">
            <w:pPr>
              <w:pStyle w:val="NormalWeb"/>
              <w:tabs>
                <w:tab w:val="center" w:pos="959"/>
              </w:tabs>
              <w:spacing w:before="0" w:beforeAutospacing="0"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PLOD2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2911D3" w:rsidRPr="00AE74FC" w:rsidRDefault="002911D3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AE74FC">
              <w:rPr>
                <w:rFonts w:ascii="Arial" w:hAnsi="Arial" w:cs="Arial"/>
                <w:sz w:val="20"/>
                <w:szCs w:val="20"/>
              </w:rPr>
              <w:t>263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911D3" w:rsidRPr="00AE74FC" w:rsidRDefault="002911D3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AE74FC">
              <w:rPr>
                <w:rFonts w:ascii="Arial" w:hAnsi="Arial" w:cs="Arial"/>
                <w:bCs/>
                <w:kern w:val="24"/>
                <w:sz w:val="20"/>
                <w:szCs w:val="20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2911D3" w:rsidRPr="00AE74FC" w:rsidRDefault="00DC3A97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24"/>
                <w:sz w:val="20"/>
                <w:szCs w:val="20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2911D3" w:rsidRPr="00AE74FC" w:rsidRDefault="00DC3A97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24"/>
                <w:sz w:val="20"/>
                <w:szCs w:val="20"/>
              </w:rPr>
              <w:t>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2911D3" w:rsidRPr="00AE74FC" w:rsidRDefault="002911D3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AE74FC">
              <w:rPr>
                <w:rFonts w:ascii="Arial" w:hAnsi="Arial" w:cs="Arial"/>
                <w:sz w:val="20"/>
                <w:szCs w:val="20"/>
              </w:rPr>
              <w:t>84632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911D3" w:rsidRPr="00AE74FC" w:rsidRDefault="002911D3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4FC">
              <w:rPr>
                <w:rFonts w:ascii="Arial" w:hAnsi="Arial" w:cs="Arial"/>
                <w:sz w:val="20"/>
                <w:szCs w:val="20"/>
              </w:rPr>
              <w:t>6,24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2911D3" w:rsidRPr="00AE74FC" w:rsidRDefault="00517F1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</w:tr>
      <w:tr w:rsidR="002911D3" w:rsidRPr="00AE74FC">
        <w:trPr>
          <w:trHeight w:val="24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11D3" w:rsidRPr="00AE74FC" w:rsidRDefault="00D61CBB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24"/>
                <w:sz w:val="20"/>
                <w:szCs w:val="20"/>
              </w:rPr>
              <w:t>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2911D3" w:rsidRPr="00AE74FC" w:rsidRDefault="002911D3" w:rsidP="0067744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AE74FC">
              <w:rPr>
                <w:rFonts w:ascii="Arial" w:hAnsi="Arial" w:cs="Arial"/>
                <w:sz w:val="20"/>
                <w:szCs w:val="20"/>
              </w:rPr>
              <w:t>Caldesmon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911D3" w:rsidRPr="00AE74FC" w:rsidRDefault="0057539E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CALD1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2911D3" w:rsidRPr="00AE74FC" w:rsidRDefault="002911D3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AE74FC">
              <w:rPr>
                <w:rFonts w:ascii="Arial" w:hAnsi="Arial" w:cs="Arial"/>
                <w:bCs/>
                <w:kern w:val="24"/>
                <w:sz w:val="20"/>
                <w:szCs w:val="20"/>
              </w:rPr>
              <w:t>397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911D3" w:rsidRPr="00AE74FC" w:rsidRDefault="002911D3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AE74FC">
              <w:rPr>
                <w:rFonts w:ascii="Arial" w:hAnsi="Arial" w:cs="Arial"/>
                <w:bCs/>
                <w:kern w:val="24"/>
                <w:sz w:val="20"/>
                <w:szCs w:val="20"/>
              </w:rPr>
              <w:t>26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2911D3" w:rsidRPr="00AE74FC" w:rsidRDefault="00DC3A97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24"/>
                <w:sz w:val="20"/>
                <w:szCs w:val="20"/>
              </w:rPr>
              <w:t>42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2911D3" w:rsidRPr="00AE74FC" w:rsidRDefault="00DC3A97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24"/>
                <w:sz w:val="20"/>
                <w:szCs w:val="20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2911D3" w:rsidRPr="00AE74FC" w:rsidRDefault="002911D3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AE74FC">
              <w:rPr>
                <w:rFonts w:ascii="Arial" w:hAnsi="Arial" w:cs="Arial"/>
                <w:sz w:val="20"/>
                <w:szCs w:val="20"/>
              </w:rPr>
              <w:t>93194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911D3" w:rsidRPr="00AE74FC" w:rsidRDefault="002911D3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4FC">
              <w:rPr>
                <w:rFonts w:ascii="Arial" w:hAnsi="Arial" w:cs="Arial"/>
                <w:sz w:val="20"/>
                <w:szCs w:val="20"/>
              </w:rPr>
              <w:t>5,63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2911D3" w:rsidRPr="00AE74FC" w:rsidRDefault="002911D3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4FC">
              <w:rPr>
                <w:rFonts w:ascii="Arial" w:hAnsi="Arial" w:cs="Arial"/>
                <w:sz w:val="20"/>
                <w:szCs w:val="20"/>
              </w:rPr>
              <w:t>4,69</w:t>
            </w:r>
          </w:p>
        </w:tc>
      </w:tr>
      <w:tr w:rsidR="00C52A64" w:rsidRPr="00AE74FC">
        <w:trPr>
          <w:trHeight w:val="24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24"/>
                <w:sz w:val="20"/>
                <w:szCs w:val="20"/>
              </w:rPr>
              <w:t>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AE74FC">
              <w:rPr>
                <w:rFonts w:ascii="Arial" w:hAnsi="Arial" w:cs="Arial"/>
                <w:bCs/>
                <w:kern w:val="24"/>
                <w:sz w:val="20"/>
                <w:szCs w:val="20"/>
              </w:rPr>
              <w:t>Procollagen-lysine,2-oxoglutarate 5-dioxygenase 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57539E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PLOD3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24"/>
                <w:sz w:val="20"/>
                <w:szCs w:val="20"/>
              </w:rPr>
              <w:t>11</w:t>
            </w:r>
            <w:r w:rsidRPr="00AE74FC">
              <w:rPr>
                <w:rFonts w:ascii="Arial" w:hAnsi="Arial" w:cs="Arial"/>
                <w:bCs/>
                <w:kern w:val="24"/>
                <w:sz w:val="20"/>
                <w:szCs w:val="20"/>
              </w:rPr>
              <w:t>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AE74FC">
              <w:rPr>
                <w:rFonts w:ascii="Arial" w:hAnsi="Arial" w:cs="Arial"/>
                <w:bCs/>
                <w:kern w:val="24"/>
                <w:sz w:val="20"/>
                <w:szCs w:val="20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24"/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24"/>
                <w:sz w:val="20"/>
                <w:szCs w:val="20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AE74FC">
              <w:rPr>
                <w:rFonts w:ascii="Arial" w:hAnsi="Arial" w:cs="Arial"/>
                <w:bCs/>
                <w:kern w:val="24"/>
                <w:sz w:val="20"/>
                <w:szCs w:val="20"/>
              </w:rPr>
              <w:t>84731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4FC">
              <w:rPr>
                <w:rFonts w:ascii="Arial" w:hAnsi="Arial" w:cs="Arial"/>
                <w:sz w:val="20"/>
                <w:szCs w:val="20"/>
              </w:rPr>
              <w:t>5,69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4FC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</w:tr>
      <w:tr w:rsidR="00C52A64" w:rsidRPr="00AE74FC">
        <w:trPr>
          <w:trHeight w:val="24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24"/>
                <w:sz w:val="20"/>
                <w:szCs w:val="20"/>
              </w:rPr>
              <w:t>4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AE74FC">
              <w:rPr>
                <w:rFonts w:ascii="Arial" w:hAnsi="Arial" w:cs="Arial"/>
                <w:bCs/>
                <w:kern w:val="24"/>
                <w:sz w:val="20"/>
                <w:szCs w:val="20"/>
              </w:rPr>
              <w:t>Gelsolin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57539E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24"/>
                <w:sz w:val="20"/>
                <w:szCs w:val="20"/>
              </w:rPr>
              <w:t>GELS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AE74FC">
              <w:rPr>
                <w:rFonts w:ascii="Arial" w:hAnsi="Arial" w:cs="Arial"/>
                <w:bCs/>
                <w:kern w:val="24"/>
                <w:sz w:val="20"/>
                <w:szCs w:val="20"/>
              </w:rPr>
              <w:t>882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AE74FC">
              <w:rPr>
                <w:rFonts w:ascii="Arial" w:hAnsi="Arial" w:cs="Arial"/>
                <w:bCs/>
                <w:kern w:val="24"/>
                <w:sz w:val="20"/>
                <w:szCs w:val="20"/>
              </w:rPr>
              <w:t>45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24"/>
                <w:sz w:val="20"/>
                <w:szCs w:val="20"/>
              </w:rPr>
              <w:t>38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24"/>
                <w:sz w:val="20"/>
                <w:szCs w:val="20"/>
              </w:rPr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AE74FC">
              <w:rPr>
                <w:rFonts w:ascii="Arial" w:hAnsi="Arial" w:cs="Arial"/>
                <w:bCs/>
                <w:kern w:val="24"/>
                <w:sz w:val="20"/>
                <w:szCs w:val="20"/>
              </w:rPr>
              <w:t>85644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4FC">
              <w:rPr>
                <w:rFonts w:ascii="Arial" w:hAnsi="Arial" w:cs="Arial"/>
                <w:sz w:val="20"/>
                <w:szCs w:val="20"/>
              </w:rPr>
              <w:t>5,72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4FC">
              <w:rPr>
                <w:rFonts w:ascii="Arial" w:hAnsi="Arial" w:cs="Arial"/>
                <w:sz w:val="20"/>
                <w:szCs w:val="20"/>
              </w:rPr>
              <w:t>1,86</w:t>
            </w:r>
          </w:p>
        </w:tc>
      </w:tr>
      <w:tr w:rsidR="00C52A64" w:rsidRPr="00AE74FC">
        <w:trPr>
          <w:trHeight w:val="24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24"/>
                <w:sz w:val="20"/>
                <w:szCs w:val="20"/>
              </w:rPr>
              <w:t>5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AE74FC">
              <w:rPr>
                <w:rFonts w:ascii="Arial" w:hAnsi="Arial" w:cs="Arial"/>
                <w:bCs/>
                <w:kern w:val="24"/>
                <w:sz w:val="20"/>
                <w:szCs w:val="20"/>
              </w:rPr>
              <w:t>Gelsolin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57539E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24"/>
                <w:sz w:val="20"/>
                <w:szCs w:val="20"/>
              </w:rPr>
              <w:t>GELS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AE74FC">
              <w:rPr>
                <w:rFonts w:ascii="Arial" w:hAnsi="Arial" w:cs="Arial"/>
                <w:bCs/>
                <w:kern w:val="24"/>
                <w:sz w:val="20"/>
                <w:szCs w:val="20"/>
              </w:rPr>
              <w:t>893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AE74FC">
              <w:rPr>
                <w:rFonts w:ascii="Arial" w:hAnsi="Arial" w:cs="Arial"/>
                <w:bCs/>
                <w:kern w:val="24"/>
                <w:sz w:val="20"/>
                <w:szCs w:val="20"/>
              </w:rPr>
              <w:t>36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24"/>
                <w:sz w:val="20"/>
                <w:szCs w:val="20"/>
              </w:rPr>
              <w:t>37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24"/>
                <w:sz w:val="20"/>
                <w:szCs w:val="2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AE74FC">
              <w:rPr>
                <w:rFonts w:ascii="Arial" w:hAnsi="Arial" w:cs="Arial"/>
                <w:bCs/>
                <w:kern w:val="24"/>
                <w:sz w:val="20"/>
                <w:szCs w:val="20"/>
              </w:rPr>
              <w:t>85644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AE74FC">
              <w:rPr>
                <w:rFonts w:ascii="Arial" w:hAnsi="Arial" w:cs="Arial"/>
                <w:sz w:val="20"/>
                <w:szCs w:val="20"/>
              </w:rPr>
              <w:t>5,72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</w:tr>
      <w:tr w:rsidR="00C52A64" w:rsidRPr="00AE74FC">
        <w:trPr>
          <w:trHeight w:val="24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24"/>
                <w:sz w:val="20"/>
                <w:szCs w:val="20"/>
              </w:rPr>
              <w:t>6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AE74FC">
              <w:rPr>
                <w:rFonts w:ascii="Arial" w:hAnsi="Arial" w:cs="Arial"/>
                <w:bCs/>
                <w:kern w:val="24"/>
                <w:sz w:val="20"/>
                <w:szCs w:val="20"/>
              </w:rPr>
              <w:t>Gelsolin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57539E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24"/>
                <w:sz w:val="20"/>
                <w:szCs w:val="20"/>
              </w:rPr>
              <w:t>GELS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AE74FC">
              <w:rPr>
                <w:rFonts w:ascii="Arial" w:hAnsi="Arial" w:cs="Arial"/>
                <w:bCs/>
                <w:kern w:val="24"/>
                <w:sz w:val="20"/>
                <w:szCs w:val="20"/>
              </w:rPr>
              <w:t>394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AE74FC">
              <w:rPr>
                <w:rFonts w:ascii="Arial" w:hAnsi="Arial" w:cs="Arial"/>
                <w:bCs/>
                <w:kern w:val="24"/>
                <w:sz w:val="20"/>
                <w:szCs w:val="20"/>
              </w:rPr>
              <w:t>32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24"/>
                <w:sz w:val="20"/>
                <w:szCs w:val="20"/>
              </w:rPr>
              <w:t>24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24"/>
                <w:sz w:val="20"/>
                <w:szCs w:val="20"/>
              </w:rPr>
              <w:t>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AE74FC">
              <w:rPr>
                <w:rFonts w:ascii="Arial" w:hAnsi="Arial" w:cs="Arial"/>
                <w:bCs/>
                <w:kern w:val="24"/>
                <w:sz w:val="20"/>
                <w:szCs w:val="20"/>
              </w:rPr>
              <w:t>85644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AE74FC">
              <w:rPr>
                <w:rFonts w:ascii="Arial" w:hAnsi="Arial" w:cs="Arial"/>
                <w:sz w:val="20"/>
                <w:szCs w:val="20"/>
              </w:rPr>
              <w:t>5,72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4FC">
              <w:rPr>
                <w:rFonts w:ascii="Arial" w:hAnsi="Arial" w:cs="Arial"/>
                <w:sz w:val="20"/>
                <w:szCs w:val="20"/>
              </w:rPr>
              <w:t>3,65</w:t>
            </w:r>
          </w:p>
        </w:tc>
      </w:tr>
      <w:tr w:rsidR="00C52A64" w:rsidRPr="00AE74FC">
        <w:trPr>
          <w:trHeight w:val="24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24"/>
                <w:sz w:val="20"/>
                <w:szCs w:val="20"/>
              </w:rPr>
              <w:t>7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AE74FC">
              <w:rPr>
                <w:rFonts w:ascii="Arial" w:hAnsi="Arial" w:cs="Arial"/>
                <w:bCs/>
                <w:kern w:val="24"/>
                <w:sz w:val="20"/>
                <w:szCs w:val="20"/>
              </w:rPr>
              <w:t>Heat shock cognate 71 kDa protein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57539E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HSP7C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AE74FC">
              <w:rPr>
                <w:rFonts w:ascii="Arial" w:hAnsi="Arial" w:cs="Arial"/>
                <w:bCs/>
                <w:kern w:val="24"/>
                <w:sz w:val="20"/>
                <w:szCs w:val="20"/>
              </w:rPr>
              <w:t>1060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AE74FC">
              <w:rPr>
                <w:rFonts w:ascii="Arial" w:hAnsi="Arial" w:cs="Arial"/>
                <w:bCs/>
                <w:kern w:val="24"/>
                <w:sz w:val="20"/>
                <w:szCs w:val="20"/>
              </w:rPr>
              <w:t>48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24"/>
                <w:sz w:val="20"/>
                <w:szCs w:val="20"/>
              </w:rPr>
              <w:t>40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24"/>
                <w:sz w:val="20"/>
                <w:szCs w:val="20"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AE74FC">
              <w:rPr>
                <w:rFonts w:ascii="Arial" w:hAnsi="Arial" w:cs="Arial"/>
                <w:bCs/>
                <w:kern w:val="24"/>
                <w:sz w:val="20"/>
                <w:szCs w:val="20"/>
              </w:rPr>
              <w:t>70761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AE74FC">
              <w:rPr>
                <w:rFonts w:ascii="Arial" w:hAnsi="Arial" w:cs="Arial"/>
                <w:bCs/>
                <w:kern w:val="24"/>
                <w:sz w:val="20"/>
                <w:szCs w:val="20"/>
              </w:rPr>
              <w:t>5,37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AE74FC">
              <w:rPr>
                <w:rFonts w:ascii="Arial" w:hAnsi="Arial" w:cs="Arial"/>
                <w:sz w:val="20"/>
                <w:szCs w:val="20"/>
              </w:rPr>
              <w:t>1,45</w:t>
            </w:r>
          </w:p>
        </w:tc>
      </w:tr>
      <w:tr w:rsidR="00C52A64" w:rsidRPr="00AE74FC">
        <w:trPr>
          <w:trHeight w:val="24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24"/>
                <w:sz w:val="20"/>
                <w:szCs w:val="20"/>
              </w:rPr>
              <w:t>8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AE74FC">
              <w:rPr>
                <w:rFonts w:ascii="Arial" w:hAnsi="Arial" w:cs="Arial"/>
                <w:bCs/>
                <w:kern w:val="24"/>
                <w:sz w:val="20"/>
                <w:szCs w:val="20"/>
              </w:rPr>
              <w:t>Heat shock cognate 71 kDa protein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57539E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24"/>
                <w:sz w:val="20"/>
                <w:szCs w:val="20"/>
              </w:rPr>
              <w:t>HSP7C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AE74FC">
              <w:rPr>
                <w:rFonts w:ascii="Arial" w:hAnsi="Arial" w:cs="Arial"/>
                <w:bCs/>
                <w:kern w:val="24"/>
                <w:sz w:val="20"/>
                <w:szCs w:val="20"/>
              </w:rPr>
              <w:t>954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AE74FC">
              <w:rPr>
                <w:rFonts w:ascii="Arial" w:hAnsi="Arial" w:cs="Arial"/>
                <w:bCs/>
                <w:kern w:val="24"/>
                <w:sz w:val="20"/>
                <w:szCs w:val="20"/>
              </w:rPr>
              <w:t>46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24"/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24"/>
                <w:sz w:val="20"/>
                <w:szCs w:val="2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AE74FC">
              <w:rPr>
                <w:rFonts w:ascii="Arial" w:hAnsi="Arial" w:cs="Arial"/>
                <w:bCs/>
                <w:kern w:val="24"/>
                <w:sz w:val="20"/>
                <w:szCs w:val="20"/>
              </w:rPr>
              <w:t>70854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AE74FC">
              <w:rPr>
                <w:rFonts w:ascii="Arial" w:hAnsi="Arial" w:cs="Arial"/>
                <w:bCs/>
                <w:kern w:val="24"/>
                <w:sz w:val="20"/>
                <w:szCs w:val="20"/>
              </w:rPr>
              <w:t>5,37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AE74FC">
              <w:rPr>
                <w:rFonts w:ascii="Arial" w:hAnsi="Arial" w:cs="Arial"/>
                <w:bCs/>
                <w:kern w:val="24"/>
                <w:sz w:val="20"/>
                <w:szCs w:val="20"/>
              </w:rPr>
              <w:t>1,77</w:t>
            </w:r>
          </w:p>
        </w:tc>
      </w:tr>
      <w:tr w:rsidR="00C52A64" w:rsidRPr="00AE74FC">
        <w:trPr>
          <w:trHeight w:val="24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24"/>
                <w:sz w:val="20"/>
                <w:szCs w:val="20"/>
              </w:rPr>
              <w:t>9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AE74FC">
              <w:rPr>
                <w:rFonts w:ascii="Arial" w:hAnsi="Arial" w:cs="Arial"/>
                <w:bCs/>
                <w:kern w:val="24"/>
                <w:sz w:val="20"/>
                <w:szCs w:val="20"/>
              </w:rPr>
              <w:t>Pyruvate kinase isozymes M1/M2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57539E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PKM1/M2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AE74FC">
              <w:rPr>
                <w:rFonts w:ascii="Arial" w:hAnsi="Arial" w:cs="Arial"/>
                <w:bCs/>
                <w:kern w:val="24"/>
                <w:sz w:val="20"/>
                <w:szCs w:val="20"/>
              </w:rPr>
              <w:t>785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AE74FC">
              <w:rPr>
                <w:rFonts w:ascii="Arial" w:hAnsi="Arial" w:cs="Arial"/>
                <w:bCs/>
                <w:kern w:val="24"/>
                <w:sz w:val="20"/>
                <w:szCs w:val="20"/>
              </w:rPr>
              <w:t>59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24"/>
                <w:sz w:val="20"/>
                <w:szCs w:val="20"/>
              </w:rPr>
              <w:t>42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24"/>
                <w:sz w:val="20"/>
                <w:szCs w:val="20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AE74FC">
              <w:rPr>
                <w:rFonts w:ascii="Arial" w:hAnsi="Arial" w:cs="Arial"/>
                <w:bCs/>
                <w:kern w:val="24"/>
                <w:sz w:val="20"/>
                <w:szCs w:val="20"/>
              </w:rPr>
              <w:t>57900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AE74FC">
              <w:rPr>
                <w:rFonts w:ascii="Arial" w:hAnsi="Arial" w:cs="Arial"/>
                <w:bCs/>
                <w:kern w:val="24"/>
                <w:sz w:val="20"/>
                <w:szCs w:val="20"/>
              </w:rPr>
              <w:t>7,96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AE74FC">
              <w:rPr>
                <w:rFonts w:ascii="Arial" w:hAnsi="Arial" w:cs="Arial"/>
                <w:bCs/>
                <w:kern w:val="24"/>
                <w:sz w:val="20"/>
                <w:szCs w:val="20"/>
              </w:rPr>
              <w:t>6,66</w:t>
            </w:r>
          </w:p>
        </w:tc>
      </w:tr>
      <w:tr w:rsidR="00C52A64" w:rsidRPr="00AE74FC">
        <w:trPr>
          <w:trHeight w:val="24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4F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E74FC">
              <w:rPr>
                <w:rFonts w:ascii="Arial" w:hAnsi="Arial" w:cs="Arial"/>
                <w:sz w:val="20"/>
                <w:szCs w:val="20"/>
              </w:rPr>
              <w:t>Pyruvate kinase isozymes M1/M2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57539E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PKM1/M2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4FC">
              <w:rPr>
                <w:rFonts w:ascii="Arial" w:hAnsi="Arial" w:cs="Arial"/>
                <w:sz w:val="20"/>
                <w:szCs w:val="20"/>
              </w:rPr>
              <w:t>208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4FC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4FC">
              <w:rPr>
                <w:rFonts w:ascii="Arial" w:hAnsi="Arial" w:cs="Arial"/>
                <w:sz w:val="20"/>
                <w:szCs w:val="20"/>
              </w:rPr>
              <w:t>57900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4FC">
              <w:rPr>
                <w:rFonts w:ascii="Arial" w:hAnsi="Arial" w:cs="Arial"/>
                <w:bCs/>
                <w:kern w:val="24"/>
                <w:sz w:val="20"/>
                <w:szCs w:val="20"/>
              </w:rPr>
              <w:t>7,96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AE74FC">
              <w:rPr>
                <w:rFonts w:ascii="Arial" w:hAnsi="Arial" w:cs="Arial"/>
                <w:bCs/>
                <w:kern w:val="24"/>
                <w:sz w:val="20"/>
                <w:szCs w:val="20"/>
              </w:rPr>
              <w:t>2,32</w:t>
            </w:r>
          </w:p>
        </w:tc>
      </w:tr>
      <w:tr w:rsidR="00C52A64" w:rsidRPr="00AE74FC">
        <w:trPr>
          <w:trHeight w:val="24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4F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E74FC">
              <w:rPr>
                <w:rFonts w:ascii="Arial" w:hAnsi="Arial" w:cs="Arial"/>
                <w:sz w:val="20"/>
                <w:szCs w:val="20"/>
              </w:rPr>
              <w:t>Fascin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57539E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FSCN1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4FC"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4F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4FC">
              <w:rPr>
                <w:rFonts w:ascii="Arial" w:hAnsi="Arial" w:cs="Arial"/>
                <w:sz w:val="20"/>
                <w:szCs w:val="20"/>
              </w:rPr>
              <w:t>54496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4FC">
              <w:rPr>
                <w:rFonts w:ascii="Arial" w:hAnsi="Arial" w:cs="Arial"/>
                <w:sz w:val="20"/>
                <w:szCs w:val="20"/>
              </w:rPr>
              <w:t>6,84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4FC">
              <w:rPr>
                <w:rFonts w:ascii="Arial" w:hAnsi="Arial" w:cs="Arial"/>
                <w:sz w:val="20"/>
                <w:szCs w:val="20"/>
              </w:rPr>
              <w:t>1,61</w:t>
            </w:r>
          </w:p>
        </w:tc>
      </w:tr>
      <w:tr w:rsidR="00C52A64" w:rsidRPr="00AE74FC">
        <w:trPr>
          <w:trHeight w:val="24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4F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E74FC">
              <w:rPr>
                <w:rFonts w:ascii="Arial" w:hAnsi="Arial" w:cs="Arial"/>
                <w:sz w:val="20"/>
                <w:szCs w:val="20"/>
              </w:rPr>
              <w:t>Adenylyl cyclase-associated protein 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A53EE9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4FC">
              <w:rPr>
                <w:rFonts w:ascii="Arial" w:hAnsi="Arial" w:cs="Arial"/>
                <w:sz w:val="20"/>
                <w:szCs w:val="20"/>
              </w:rPr>
              <w:t>351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4FC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4FC">
              <w:rPr>
                <w:rFonts w:ascii="Arial" w:hAnsi="Arial" w:cs="Arial"/>
                <w:sz w:val="20"/>
                <w:szCs w:val="20"/>
              </w:rPr>
              <w:t>51823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4FC">
              <w:rPr>
                <w:rFonts w:ascii="Arial" w:hAnsi="Arial" w:cs="Arial"/>
                <w:sz w:val="20"/>
                <w:szCs w:val="20"/>
              </w:rPr>
              <w:t>8,27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4FC">
              <w:rPr>
                <w:rFonts w:ascii="Arial" w:hAnsi="Arial" w:cs="Arial"/>
                <w:sz w:val="20"/>
                <w:szCs w:val="20"/>
              </w:rPr>
              <w:t>2,76</w:t>
            </w:r>
          </w:p>
        </w:tc>
      </w:tr>
      <w:tr w:rsidR="00C52A64" w:rsidRPr="00AE74FC">
        <w:trPr>
          <w:trHeight w:val="24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E74FC">
              <w:rPr>
                <w:rFonts w:ascii="Arial" w:hAnsi="Arial" w:cs="Arial"/>
                <w:sz w:val="20"/>
                <w:szCs w:val="20"/>
              </w:rPr>
              <w:t>Glucose-6-phosphate 1-dehydrogenase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044388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G6PD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4FC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4FC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4FC">
              <w:rPr>
                <w:rFonts w:ascii="Arial" w:hAnsi="Arial" w:cs="Arial"/>
                <w:sz w:val="20"/>
                <w:szCs w:val="20"/>
              </w:rPr>
              <w:t>59219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4FC">
              <w:rPr>
                <w:rFonts w:ascii="Arial" w:hAnsi="Arial" w:cs="Arial"/>
                <w:sz w:val="20"/>
                <w:szCs w:val="20"/>
              </w:rPr>
              <w:t>6,39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4FC">
              <w:rPr>
                <w:rFonts w:ascii="Arial" w:hAnsi="Arial" w:cs="Arial"/>
                <w:sz w:val="20"/>
                <w:szCs w:val="20"/>
              </w:rPr>
              <w:t>2,75</w:t>
            </w:r>
          </w:p>
        </w:tc>
      </w:tr>
      <w:tr w:rsidR="00C52A64" w:rsidRPr="00AE74FC">
        <w:trPr>
          <w:trHeight w:val="24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E74FC">
              <w:rPr>
                <w:rFonts w:ascii="Arial" w:hAnsi="Arial" w:cs="Arial"/>
                <w:sz w:val="20"/>
                <w:szCs w:val="20"/>
              </w:rPr>
              <w:t>Retinal dehydrogenase 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A53EE9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AL1A1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4FC">
              <w:rPr>
                <w:rFonts w:ascii="Arial" w:hAnsi="Arial" w:cs="Arial"/>
                <w:sz w:val="20"/>
                <w:szCs w:val="20"/>
              </w:rPr>
              <w:t>682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4FC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4FC">
              <w:rPr>
                <w:rFonts w:ascii="Arial" w:hAnsi="Arial" w:cs="Arial"/>
                <w:sz w:val="20"/>
                <w:szCs w:val="20"/>
              </w:rPr>
              <w:t>54827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4FC">
              <w:rPr>
                <w:rFonts w:ascii="Arial" w:hAnsi="Arial" w:cs="Arial"/>
                <w:sz w:val="20"/>
                <w:szCs w:val="20"/>
              </w:rPr>
              <w:t>6,3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4FC">
              <w:rPr>
                <w:rFonts w:ascii="Arial" w:hAnsi="Arial" w:cs="Arial"/>
                <w:sz w:val="20"/>
                <w:szCs w:val="20"/>
              </w:rPr>
              <w:t>1,74</w:t>
            </w:r>
          </w:p>
        </w:tc>
      </w:tr>
      <w:tr w:rsidR="00C52A64" w:rsidRPr="00AE74FC">
        <w:trPr>
          <w:trHeight w:val="24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AE74FC">
              <w:rPr>
                <w:rFonts w:ascii="Arial" w:hAnsi="Arial" w:cs="Arial"/>
                <w:bCs/>
                <w:kern w:val="24"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kern w:val="24"/>
                <w:sz w:val="20"/>
                <w:szCs w:val="20"/>
              </w:rPr>
              <w:t>5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AE74FC">
              <w:rPr>
                <w:rFonts w:ascii="Arial" w:hAnsi="Arial" w:cs="Arial"/>
                <w:bCs/>
                <w:kern w:val="24"/>
                <w:sz w:val="20"/>
                <w:szCs w:val="20"/>
              </w:rPr>
              <w:t>Alpha-enolase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F333B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ENOA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AE74FC">
              <w:rPr>
                <w:rFonts w:ascii="Arial" w:hAnsi="Arial" w:cs="Arial"/>
                <w:bCs/>
                <w:kern w:val="24"/>
                <w:sz w:val="20"/>
                <w:szCs w:val="20"/>
              </w:rPr>
              <w:t>1040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AE74FC">
              <w:rPr>
                <w:rFonts w:ascii="Arial" w:hAnsi="Arial" w:cs="Arial"/>
                <w:bCs/>
                <w:kern w:val="24"/>
                <w:sz w:val="20"/>
                <w:szCs w:val="20"/>
              </w:rPr>
              <w:t>47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24"/>
                <w:sz w:val="20"/>
                <w:szCs w:val="20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24"/>
                <w:sz w:val="20"/>
                <w:szCs w:val="20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AE74FC">
              <w:rPr>
                <w:rFonts w:ascii="Arial" w:hAnsi="Arial" w:cs="Arial"/>
                <w:bCs/>
                <w:kern w:val="24"/>
                <w:sz w:val="20"/>
                <w:szCs w:val="20"/>
              </w:rPr>
              <w:t>47139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4FC">
              <w:rPr>
                <w:rFonts w:ascii="Arial" w:hAnsi="Arial" w:cs="Arial"/>
                <w:sz w:val="20"/>
                <w:szCs w:val="20"/>
              </w:rPr>
              <w:t>7,01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4FC">
              <w:rPr>
                <w:rFonts w:ascii="Arial" w:hAnsi="Arial" w:cs="Arial"/>
                <w:sz w:val="20"/>
                <w:szCs w:val="20"/>
              </w:rPr>
              <w:t>1,83</w:t>
            </w:r>
          </w:p>
        </w:tc>
      </w:tr>
      <w:tr w:rsidR="00C52A64" w:rsidRPr="00AE74FC">
        <w:trPr>
          <w:trHeight w:val="24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AE74FC">
              <w:rPr>
                <w:rFonts w:ascii="Arial" w:hAnsi="Arial" w:cs="Arial"/>
                <w:bCs/>
                <w:kern w:val="24"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kern w:val="24"/>
                <w:sz w:val="20"/>
                <w:szCs w:val="20"/>
              </w:rPr>
              <w:t>6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AE74FC">
              <w:rPr>
                <w:rFonts w:ascii="Arial" w:hAnsi="Arial" w:cs="Arial"/>
                <w:bCs/>
                <w:kern w:val="24"/>
                <w:sz w:val="20"/>
                <w:szCs w:val="20"/>
              </w:rPr>
              <w:t>Alpha-enolase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F333B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ENOA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AE74FC">
              <w:rPr>
                <w:rFonts w:ascii="Arial" w:hAnsi="Arial" w:cs="Arial"/>
                <w:bCs/>
                <w:kern w:val="24"/>
                <w:sz w:val="20"/>
                <w:szCs w:val="20"/>
              </w:rPr>
              <w:t>927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AE74FC">
              <w:rPr>
                <w:rFonts w:ascii="Arial" w:hAnsi="Arial" w:cs="Arial"/>
                <w:bCs/>
                <w:kern w:val="24"/>
                <w:sz w:val="20"/>
                <w:szCs w:val="20"/>
              </w:rPr>
              <w:t>48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24"/>
                <w:sz w:val="20"/>
                <w:szCs w:val="20"/>
              </w:rPr>
              <w:t>34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24"/>
                <w:sz w:val="20"/>
                <w:szCs w:val="20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AE74FC">
              <w:rPr>
                <w:rFonts w:ascii="Arial" w:hAnsi="Arial" w:cs="Arial"/>
                <w:bCs/>
                <w:kern w:val="24"/>
                <w:sz w:val="20"/>
                <w:szCs w:val="20"/>
              </w:rPr>
              <w:t>47139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4FC">
              <w:rPr>
                <w:rFonts w:ascii="Arial" w:hAnsi="Arial" w:cs="Arial"/>
                <w:sz w:val="20"/>
                <w:szCs w:val="20"/>
              </w:rPr>
              <w:t>7,01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4FC">
              <w:rPr>
                <w:rFonts w:ascii="Arial" w:hAnsi="Arial" w:cs="Arial"/>
                <w:bCs/>
                <w:kern w:val="24"/>
                <w:sz w:val="20"/>
                <w:szCs w:val="20"/>
              </w:rPr>
              <w:t>4,16</w:t>
            </w:r>
          </w:p>
        </w:tc>
      </w:tr>
      <w:tr w:rsidR="00C52A64" w:rsidRPr="00AE74FC">
        <w:trPr>
          <w:trHeight w:val="24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AE74FC">
              <w:rPr>
                <w:rFonts w:ascii="Arial" w:hAnsi="Arial" w:cs="Arial"/>
                <w:bCs/>
                <w:kern w:val="24"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kern w:val="24"/>
                <w:sz w:val="20"/>
                <w:szCs w:val="20"/>
              </w:rPr>
              <w:t>7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AE74FC">
              <w:rPr>
                <w:rFonts w:ascii="Arial" w:hAnsi="Arial" w:cs="Arial"/>
                <w:bCs/>
                <w:kern w:val="24"/>
                <w:sz w:val="20"/>
                <w:szCs w:val="20"/>
              </w:rPr>
              <w:t>Fructose-bisphosphate aldolase A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F333B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ALDOA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AE74FC">
              <w:rPr>
                <w:rFonts w:ascii="Arial" w:hAnsi="Arial" w:cs="Arial"/>
                <w:bCs/>
                <w:kern w:val="24"/>
                <w:sz w:val="20"/>
                <w:szCs w:val="20"/>
              </w:rPr>
              <w:t>596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AE74FC">
              <w:rPr>
                <w:rFonts w:ascii="Arial" w:hAnsi="Arial" w:cs="Arial"/>
                <w:bCs/>
                <w:kern w:val="24"/>
                <w:sz w:val="20"/>
                <w:szCs w:val="20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24"/>
                <w:sz w:val="20"/>
                <w:szCs w:val="20"/>
              </w:rPr>
              <w:t>23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24"/>
                <w:sz w:val="20"/>
                <w:szCs w:val="20"/>
              </w:rPr>
              <w:t>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AE74FC">
              <w:rPr>
                <w:rFonts w:ascii="Arial" w:hAnsi="Arial" w:cs="Arial"/>
                <w:bCs/>
                <w:kern w:val="24"/>
                <w:sz w:val="20"/>
                <w:szCs w:val="20"/>
              </w:rPr>
              <w:t>39395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AE74FC">
              <w:rPr>
                <w:rFonts w:ascii="Arial" w:hAnsi="Arial" w:cs="Arial"/>
                <w:bCs/>
                <w:kern w:val="24"/>
                <w:sz w:val="20"/>
                <w:szCs w:val="20"/>
              </w:rPr>
              <w:t>8,3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</w:tr>
      <w:tr w:rsidR="00C52A64" w:rsidRPr="00AE74FC">
        <w:trPr>
          <w:trHeight w:val="24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4F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E74FC">
              <w:rPr>
                <w:rFonts w:ascii="Arial" w:hAnsi="Arial" w:cs="Arial"/>
                <w:sz w:val="20"/>
                <w:szCs w:val="20"/>
              </w:rPr>
              <w:t>Fructose-bisphosphate aldolase A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F333B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ALDOA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4FC">
              <w:rPr>
                <w:rFonts w:ascii="Arial" w:hAnsi="Arial" w:cs="Arial"/>
                <w:sz w:val="20"/>
                <w:szCs w:val="20"/>
              </w:rPr>
              <w:t>303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4FC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4FC">
              <w:rPr>
                <w:rFonts w:ascii="Arial" w:hAnsi="Arial" w:cs="Arial"/>
                <w:sz w:val="20"/>
                <w:szCs w:val="20"/>
              </w:rPr>
              <w:t>39395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4FC">
              <w:rPr>
                <w:rFonts w:ascii="Arial" w:hAnsi="Arial" w:cs="Arial"/>
                <w:bCs/>
                <w:kern w:val="24"/>
                <w:sz w:val="20"/>
                <w:szCs w:val="20"/>
              </w:rPr>
              <w:t>8,3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AE74FC">
              <w:rPr>
                <w:rFonts w:ascii="Arial" w:hAnsi="Arial" w:cs="Arial"/>
                <w:bCs/>
                <w:kern w:val="24"/>
                <w:sz w:val="20"/>
                <w:szCs w:val="20"/>
              </w:rPr>
              <w:t>4,88</w:t>
            </w:r>
          </w:p>
        </w:tc>
      </w:tr>
      <w:tr w:rsidR="00C52A64" w:rsidRPr="00AE74FC">
        <w:trPr>
          <w:trHeight w:val="24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E74FC">
              <w:rPr>
                <w:rFonts w:ascii="Arial" w:hAnsi="Arial" w:cs="Arial"/>
                <w:sz w:val="20"/>
                <w:szCs w:val="20"/>
              </w:rPr>
              <w:t>Glyceraldehyde-3-phosphate dehydrogenase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044388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GAPDH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4FC">
              <w:rPr>
                <w:rFonts w:ascii="Arial" w:hAnsi="Arial" w:cs="Arial"/>
                <w:sz w:val="20"/>
                <w:szCs w:val="20"/>
              </w:rPr>
              <w:t>373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4FC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4FC">
              <w:rPr>
                <w:rFonts w:ascii="Arial" w:hAnsi="Arial" w:cs="Arial"/>
                <w:sz w:val="20"/>
                <w:szCs w:val="20"/>
              </w:rPr>
              <w:t>36030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4FC">
              <w:rPr>
                <w:rFonts w:ascii="Arial" w:hAnsi="Arial" w:cs="Arial"/>
                <w:sz w:val="20"/>
                <w:szCs w:val="20"/>
              </w:rPr>
              <w:t>8,58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</w:tr>
      <w:tr w:rsidR="00C52A64" w:rsidRPr="00AE74FC">
        <w:trPr>
          <w:trHeight w:val="24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4FC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E74FC">
              <w:rPr>
                <w:rFonts w:ascii="Arial" w:hAnsi="Arial" w:cs="Arial"/>
                <w:sz w:val="20"/>
                <w:szCs w:val="20"/>
              </w:rPr>
              <w:t>Annexin A2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377767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ANXA2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4FC">
              <w:rPr>
                <w:rFonts w:ascii="Arial" w:hAnsi="Arial" w:cs="Arial"/>
                <w:sz w:val="20"/>
                <w:szCs w:val="20"/>
              </w:rPr>
              <w:t>1360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4FC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4FC">
              <w:rPr>
                <w:rFonts w:ascii="Arial" w:hAnsi="Arial" w:cs="Arial"/>
                <w:sz w:val="20"/>
                <w:szCs w:val="20"/>
              </w:rPr>
              <w:t>38580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4FC">
              <w:rPr>
                <w:rFonts w:ascii="Arial" w:hAnsi="Arial" w:cs="Arial"/>
                <w:sz w:val="20"/>
                <w:szCs w:val="20"/>
              </w:rPr>
              <w:t>7,56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4FC">
              <w:rPr>
                <w:rFonts w:ascii="Arial" w:hAnsi="Arial" w:cs="Arial"/>
                <w:sz w:val="20"/>
                <w:szCs w:val="20"/>
              </w:rPr>
              <w:t>1,88</w:t>
            </w:r>
          </w:p>
        </w:tc>
      </w:tr>
      <w:tr w:rsidR="00C52A64" w:rsidRPr="00AE74FC">
        <w:trPr>
          <w:trHeight w:val="24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4FC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E74FC">
              <w:rPr>
                <w:rFonts w:ascii="Arial" w:hAnsi="Arial" w:cs="Arial"/>
                <w:sz w:val="20"/>
                <w:szCs w:val="20"/>
              </w:rPr>
              <w:t>Guanine nucleotide-binding protein G(I)/G(S)/G(T) subunit beta-2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5D59C5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GBB2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4FC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4F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4FC">
              <w:rPr>
                <w:rFonts w:ascii="Arial" w:hAnsi="Arial" w:cs="Arial"/>
                <w:sz w:val="20"/>
                <w:szCs w:val="20"/>
              </w:rPr>
              <w:t>37307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4FC">
              <w:rPr>
                <w:rFonts w:ascii="Arial" w:hAnsi="Arial" w:cs="Arial"/>
                <w:sz w:val="20"/>
                <w:szCs w:val="20"/>
              </w:rPr>
              <w:t>5,6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4FC">
              <w:rPr>
                <w:rFonts w:ascii="Arial" w:hAnsi="Arial" w:cs="Arial"/>
                <w:sz w:val="20"/>
                <w:szCs w:val="20"/>
              </w:rPr>
              <w:t>2,22</w:t>
            </w:r>
          </w:p>
        </w:tc>
      </w:tr>
      <w:tr w:rsidR="00C52A64" w:rsidRPr="00AE74FC">
        <w:trPr>
          <w:trHeight w:val="245"/>
        </w:trPr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4FC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E74FC">
              <w:rPr>
                <w:rFonts w:ascii="Arial" w:hAnsi="Arial" w:cs="Arial"/>
                <w:sz w:val="20"/>
                <w:szCs w:val="20"/>
              </w:rPr>
              <w:t>Guanine nucleotide-binding protein G(I)/G(S)/G(T) subunit beta-2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A64" w:rsidRPr="00AE74FC" w:rsidRDefault="005D59C5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GBB2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4FC">
              <w:rPr>
                <w:rFonts w:ascii="Arial" w:hAnsi="Arial" w:cs="Arial"/>
                <w:sz w:val="20"/>
                <w:szCs w:val="20"/>
              </w:rPr>
              <w:t>37307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4FC">
              <w:rPr>
                <w:rFonts w:ascii="Arial" w:hAnsi="Arial" w:cs="Arial"/>
                <w:sz w:val="20"/>
                <w:szCs w:val="20"/>
              </w:rPr>
              <w:t>5,6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A64" w:rsidRPr="00AE74FC" w:rsidRDefault="00C52A64" w:rsidP="006774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4FC">
              <w:rPr>
                <w:rFonts w:ascii="Arial" w:hAnsi="Arial" w:cs="Arial"/>
                <w:sz w:val="20"/>
                <w:szCs w:val="20"/>
              </w:rPr>
              <w:t>1,77</w:t>
            </w:r>
          </w:p>
        </w:tc>
      </w:tr>
    </w:tbl>
    <w:p w:rsidR="00694867" w:rsidRDefault="00694867" w:rsidP="00D61C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911D3" w:rsidRPr="00B409C1" w:rsidRDefault="002911D3" w:rsidP="00D61CBB">
      <w:pPr>
        <w:spacing w:after="0" w:line="240" w:lineRule="auto"/>
        <w:jc w:val="both"/>
      </w:pPr>
      <w:r w:rsidRPr="00875DED">
        <w:rPr>
          <w:rFonts w:ascii="Arial" w:hAnsi="Arial" w:cs="Arial"/>
          <w:sz w:val="20"/>
          <w:szCs w:val="20"/>
        </w:rPr>
        <w:t>Spots of interest were id</w:t>
      </w:r>
      <w:r w:rsidR="00397B91">
        <w:rPr>
          <w:rFonts w:ascii="Arial" w:hAnsi="Arial" w:cs="Arial"/>
          <w:sz w:val="20"/>
          <w:szCs w:val="20"/>
        </w:rPr>
        <w:t>entified by MS as described in e</w:t>
      </w:r>
      <w:r w:rsidRPr="00875DED">
        <w:rPr>
          <w:rFonts w:ascii="Arial" w:hAnsi="Arial" w:cs="Arial"/>
          <w:sz w:val="20"/>
          <w:szCs w:val="20"/>
        </w:rPr>
        <w:t>xperiment</w:t>
      </w:r>
      <w:r>
        <w:rPr>
          <w:rFonts w:ascii="Arial" w:hAnsi="Arial" w:cs="Arial"/>
          <w:sz w:val="20"/>
          <w:szCs w:val="20"/>
        </w:rPr>
        <w:t>al</w:t>
      </w:r>
      <w:r w:rsidRPr="00875DED">
        <w:rPr>
          <w:rFonts w:ascii="Arial" w:hAnsi="Arial" w:cs="Arial"/>
          <w:sz w:val="20"/>
          <w:szCs w:val="20"/>
        </w:rPr>
        <w:t xml:space="preserve"> procedures. Protein spots no (a) refer to numbere</w:t>
      </w:r>
      <w:r w:rsidR="00D06430">
        <w:rPr>
          <w:rFonts w:ascii="Arial" w:hAnsi="Arial" w:cs="Arial"/>
          <w:sz w:val="20"/>
          <w:szCs w:val="20"/>
        </w:rPr>
        <w:t>d spots on Fig 3A</w:t>
      </w:r>
      <w:r>
        <w:rPr>
          <w:rFonts w:ascii="Arial" w:hAnsi="Arial" w:cs="Arial"/>
          <w:sz w:val="20"/>
          <w:szCs w:val="20"/>
        </w:rPr>
        <w:t>. For each spot</w:t>
      </w:r>
      <w:r w:rsidRPr="00875DED">
        <w:rPr>
          <w:rFonts w:ascii="Arial" w:hAnsi="Arial" w:cs="Arial"/>
          <w:sz w:val="20"/>
          <w:szCs w:val="20"/>
        </w:rPr>
        <w:t>, different parameters clarifying protein identification by MS are indicated [accession number (b), mascot score (c), % sequence coverage (d), no. of matched peptides</w:t>
      </w:r>
      <w:r w:rsidRPr="00875DED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875DED">
        <w:rPr>
          <w:rFonts w:ascii="Arial" w:hAnsi="Arial" w:cs="Arial"/>
          <w:sz w:val="20"/>
          <w:szCs w:val="20"/>
        </w:rPr>
        <w:t>(e), no. of sequenced peptides</w:t>
      </w:r>
      <w:r w:rsidRPr="00875DED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875DED">
        <w:rPr>
          <w:rFonts w:ascii="Arial" w:hAnsi="Arial" w:cs="Arial"/>
          <w:sz w:val="20"/>
          <w:szCs w:val="20"/>
        </w:rPr>
        <w:t>(f), theoretical protein mass (g) and theoretical PI</w:t>
      </w:r>
      <w:r w:rsidRPr="00875DED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875DED">
        <w:rPr>
          <w:rFonts w:ascii="Arial" w:hAnsi="Arial" w:cs="Arial"/>
          <w:sz w:val="20"/>
          <w:szCs w:val="20"/>
        </w:rPr>
        <w:t>(h)]. RMI ratio (i) represents the Relative Modification Index Ratio</w:t>
      </w:r>
      <w:r>
        <w:rPr>
          <w:rFonts w:ascii="Arial" w:hAnsi="Arial" w:cs="Arial"/>
          <w:sz w:val="20"/>
          <w:szCs w:val="20"/>
        </w:rPr>
        <w:t xml:space="preserve"> and h means that the RMI ratio is higher than 5. </w:t>
      </w:r>
    </w:p>
    <w:sectPr w:rsidR="002911D3" w:rsidRPr="00B409C1" w:rsidSect="000444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5C8" w:rsidRDefault="00E955C8" w:rsidP="007015FD">
      <w:pPr>
        <w:spacing w:after="0" w:line="240" w:lineRule="auto"/>
      </w:pPr>
      <w:r>
        <w:separator/>
      </w:r>
    </w:p>
  </w:endnote>
  <w:endnote w:type="continuationSeparator" w:id="0">
    <w:p w:rsidR="00E955C8" w:rsidRDefault="00E955C8" w:rsidP="00701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5C8" w:rsidRDefault="00E955C8" w:rsidP="007015FD">
      <w:pPr>
        <w:spacing w:after="0" w:line="240" w:lineRule="auto"/>
      </w:pPr>
      <w:r>
        <w:separator/>
      </w:r>
    </w:p>
  </w:footnote>
  <w:footnote w:type="continuationSeparator" w:id="0">
    <w:p w:rsidR="00E955C8" w:rsidRDefault="00E955C8" w:rsidP="007015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442E"/>
    <w:rsid w:val="00007272"/>
    <w:rsid w:val="00012196"/>
    <w:rsid w:val="0004337C"/>
    <w:rsid w:val="00044388"/>
    <w:rsid w:val="0004442E"/>
    <w:rsid w:val="000B4F05"/>
    <w:rsid w:val="000C2C05"/>
    <w:rsid w:val="001512C4"/>
    <w:rsid w:val="001867AF"/>
    <w:rsid w:val="001910AC"/>
    <w:rsid w:val="002265F2"/>
    <w:rsid w:val="002540AB"/>
    <w:rsid w:val="0026066F"/>
    <w:rsid w:val="002911D3"/>
    <w:rsid w:val="002B6956"/>
    <w:rsid w:val="002F02BF"/>
    <w:rsid w:val="002F6864"/>
    <w:rsid w:val="00341DFF"/>
    <w:rsid w:val="0034274D"/>
    <w:rsid w:val="003515AA"/>
    <w:rsid w:val="00377767"/>
    <w:rsid w:val="00394CC9"/>
    <w:rsid w:val="00397B91"/>
    <w:rsid w:val="003B7923"/>
    <w:rsid w:val="003C3E35"/>
    <w:rsid w:val="003D76CE"/>
    <w:rsid w:val="003F468D"/>
    <w:rsid w:val="004423BC"/>
    <w:rsid w:val="00454D72"/>
    <w:rsid w:val="0047341F"/>
    <w:rsid w:val="00492ED4"/>
    <w:rsid w:val="004A0F61"/>
    <w:rsid w:val="004B1313"/>
    <w:rsid w:val="004B20B9"/>
    <w:rsid w:val="004B41C9"/>
    <w:rsid w:val="00502931"/>
    <w:rsid w:val="00507E82"/>
    <w:rsid w:val="00517F14"/>
    <w:rsid w:val="005208D7"/>
    <w:rsid w:val="005261C3"/>
    <w:rsid w:val="0057539E"/>
    <w:rsid w:val="005B7637"/>
    <w:rsid w:val="005D59C5"/>
    <w:rsid w:val="005F4B5A"/>
    <w:rsid w:val="006222B6"/>
    <w:rsid w:val="00622D9B"/>
    <w:rsid w:val="00652D56"/>
    <w:rsid w:val="0067744B"/>
    <w:rsid w:val="00684738"/>
    <w:rsid w:val="00694867"/>
    <w:rsid w:val="006A0342"/>
    <w:rsid w:val="006D094D"/>
    <w:rsid w:val="006D41BB"/>
    <w:rsid w:val="007015FD"/>
    <w:rsid w:val="00704017"/>
    <w:rsid w:val="00721107"/>
    <w:rsid w:val="00786F36"/>
    <w:rsid w:val="00794AD4"/>
    <w:rsid w:val="007F7F64"/>
    <w:rsid w:val="008007C8"/>
    <w:rsid w:val="00812332"/>
    <w:rsid w:val="008169D7"/>
    <w:rsid w:val="00820017"/>
    <w:rsid w:val="00822231"/>
    <w:rsid w:val="008438E5"/>
    <w:rsid w:val="00875DED"/>
    <w:rsid w:val="00891320"/>
    <w:rsid w:val="00895FF6"/>
    <w:rsid w:val="008A1F8A"/>
    <w:rsid w:val="008C55EF"/>
    <w:rsid w:val="009066FD"/>
    <w:rsid w:val="00910302"/>
    <w:rsid w:val="0092530A"/>
    <w:rsid w:val="009453D5"/>
    <w:rsid w:val="009470B2"/>
    <w:rsid w:val="009B4359"/>
    <w:rsid w:val="009D4B86"/>
    <w:rsid w:val="00A23910"/>
    <w:rsid w:val="00A30BF2"/>
    <w:rsid w:val="00A53EE9"/>
    <w:rsid w:val="00A61541"/>
    <w:rsid w:val="00A76A15"/>
    <w:rsid w:val="00A76C45"/>
    <w:rsid w:val="00A9223D"/>
    <w:rsid w:val="00AC4C0E"/>
    <w:rsid w:val="00AE74FC"/>
    <w:rsid w:val="00AF7E17"/>
    <w:rsid w:val="00B17106"/>
    <w:rsid w:val="00B3398C"/>
    <w:rsid w:val="00B409C1"/>
    <w:rsid w:val="00B526EB"/>
    <w:rsid w:val="00B57527"/>
    <w:rsid w:val="00B57B8B"/>
    <w:rsid w:val="00BC3919"/>
    <w:rsid w:val="00C20367"/>
    <w:rsid w:val="00C3465C"/>
    <w:rsid w:val="00C52A64"/>
    <w:rsid w:val="00C9122D"/>
    <w:rsid w:val="00C95B7E"/>
    <w:rsid w:val="00CB444F"/>
    <w:rsid w:val="00CD13F5"/>
    <w:rsid w:val="00CF1FF3"/>
    <w:rsid w:val="00CF333B"/>
    <w:rsid w:val="00D06430"/>
    <w:rsid w:val="00D23311"/>
    <w:rsid w:val="00D61CBB"/>
    <w:rsid w:val="00DB1CD4"/>
    <w:rsid w:val="00DC3A97"/>
    <w:rsid w:val="00E0048C"/>
    <w:rsid w:val="00E00E3C"/>
    <w:rsid w:val="00E5630E"/>
    <w:rsid w:val="00E955C8"/>
    <w:rsid w:val="00ED57B9"/>
    <w:rsid w:val="00EE3BA7"/>
    <w:rsid w:val="00F06696"/>
    <w:rsid w:val="00F4473D"/>
    <w:rsid w:val="00F45A0C"/>
    <w:rsid w:val="00F55EC9"/>
    <w:rsid w:val="00F9111D"/>
    <w:rsid w:val="00F92E60"/>
    <w:rsid w:val="00FB0741"/>
    <w:rsid w:val="00FC0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42E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444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7015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015FD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7015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015FD"/>
    <w:rPr>
      <w:rFonts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81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1949</Characters>
  <Application>Microsoft Office Word</Application>
  <DocSecurity>0</DocSecurity>
  <Lines>16</Lines>
  <Paragraphs>4</Paragraphs>
  <ScaleCrop>false</ScaleCrop>
  <Company>Microsoft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UR4</dc:creator>
  <cp:lastModifiedBy>Olga Krasnova</cp:lastModifiedBy>
  <cp:revision>2</cp:revision>
  <cp:lastPrinted>2011-01-25T00:21:00Z</cp:lastPrinted>
  <dcterms:created xsi:type="dcterms:W3CDTF">2016-11-26T20:38:00Z</dcterms:created>
  <dcterms:modified xsi:type="dcterms:W3CDTF">2016-11-26T20:38:00Z</dcterms:modified>
</cp:coreProperties>
</file>