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80D" w:rsidRPr="00DF480D" w:rsidRDefault="00DF480D" w:rsidP="00DF480D">
      <w:pPr>
        <w:spacing w:after="0" w:line="360" w:lineRule="auto"/>
        <w:rPr>
          <w:rFonts w:eastAsia="Calibri" w:cstheme="minorHAnsi"/>
          <w:b/>
          <w:lang w:val="en-GB"/>
        </w:rPr>
      </w:pPr>
      <w:r w:rsidRPr="00DF480D">
        <w:rPr>
          <w:rFonts w:eastAsia="Calibri" w:cstheme="minorHAnsi"/>
          <w:b/>
          <w:lang w:val="en-GB"/>
        </w:rPr>
        <w:t>Table S1. The longitudinal association between body composition and change in hearing thresholds</w:t>
      </w:r>
      <w:r w:rsidR="00A210A5">
        <w:rPr>
          <w:rFonts w:eastAsia="Calibri" w:cstheme="minorHAnsi"/>
          <w:b/>
          <w:lang w:val="en-GB"/>
        </w:rPr>
        <w:t>.</w:t>
      </w:r>
    </w:p>
    <w:tbl>
      <w:tblPr>
        <w:tblStyle w:val="LightShading1"/>
        <w:tblW w:w="0" w:type="auto"/>
        <w:jc w:val="center"/>
        <w:tblLook w:val="04A0" w:firstRow="1" w:lastRow="0" w:firstColumn="1" w:lastColumn="0" w:noHBand="0" w:noVBand="1"/>
      </w:tblPr>
      <w:tblGrid>
        <w:gridCol w:w="2493"/>
        <w:gridCol w:w="2577"/>
        <w:gridCol w:w="2577"/>
        <w:gridCol w:w="2577"/>
      </w:tblGrid>
      <w:tr w:rsidR="00DF480D" w:rsidRPr="00DF480D" w:rsidTr="004941C4">
        <w:trPr>
          <w:cnfStyle w:val="100000000000" w:firstRow="1" w:lastRow="0" w:firstColumn="0" w:lastColumn="0" w:oddVBand="0" w:evenVBand="0" w:oddHBand="0"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2844" w:type="dxa"/>
            <w:vMerge w:val="restart"/>
            <w:tcBorders>
              <w:bottom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All frequencies</w:t>
            </w: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Low frequencies</w:t>
            </w: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High frequencies</w:t>
            </w:r>
          </w:p>
        </w:tc>
      </w:tr>
      <w:tr w:rsidR="00DF480D" w:rsidRPr="00DF480D" w:rsidTr="00DF480D">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2844" w:type="dxa"/>
            <w:vMerge/>
            <w:tcBorders>
              <w:top w:val="single" w:sz="8" w:space="0" w:color="000000"/>
              <w:bottom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Difference (CI 95%) </w:t>
            </w: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sz w:val="20"/>
                <w:szCs w:val="20"/>
                <w:lang w:val="en-GB"/>
              </w:rPr>
              <w:t xml:space="preserve">Difference (CI 95%) </w:t>
            </w: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sz w:val="20"/>
                <w:szCs w:val="20"/>
                <w:lang w:val="en-GB"/>
              </w:rPr>
              <w:t xml:space="preserve">Difference (CI 95%) </w:t>
            </w:r>
          </w:p>
        </w:tc>
      </w:tr>
      <w:tr w:rsidR="00DF480D" w:rsidRPr="00DF480D" w:rsidTr="004941C4">
        <w:trPr>
          <w:trHeight w:val="135"/>
          <w:jc w:val="center"/>
        </w:trPr>
        <w:tc>
          <w:tcPr>
            <w:cnfStyle w:val="001000000000" w:firstRow="0" w:lastRow="0" w:firstColumn="1" w:lastColumn="0" w:oddVBand="0" w:evenVBand="0" w:oddHBand="0" w:evenHBand="0" w:firstRowFirstColumn="0" w:firstRowLastColumn="0" w:lastRowFirstColumn="0" w:lastRowLastColumn="0"/>
            <w:tcW w:w="2844" w:type="dxa"/>
            <w:tcBorders>
              <w:top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Model 1</w:t>
            </w: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r>
      <w:tr w:rsidR="00DF480D" w:rsidRPr="00DF480D" w:rsidTr="004941C4">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Body mass index (SD)</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0.22 (-0.16, 0.60) </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0.26 (-0.18, 0.69)</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0.15 (-0.37, 0.66) </w:t>
            </w:r>
          </w:p>
        </w:tc>
      </w:tr>
      <w:tr w:rsidR="00DF480D" w:rsidRPr="00DF480D" w:rsidTr="004941C4">
        <w:trPr>
          <w:trHeight w:val="135"/>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Fat mass index (SD)</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0.11 (-0.30, 0.51) </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0.10 (-0.36, 0.56)</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0.02 (-0.53, 0.57) </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Fat free mass index (SD)</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0.41 (-0.04, 0.85) </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 xml:space="preserve">0.52 (0.01, 1.03) </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0.37 (-0.24, 0.98) </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GB"/>
              </w:rPr>
            </w:pP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Model 2</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GB"/>
              </w:rPr>
            </w:pP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Body mass index (SD)</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0.58 (-0.24, 1.41) </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0.37 (-0.64, 1.37)</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0.79 (-0.27, 1.85) </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Fat mass index (SD)</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0.46 (-0.43, 1.36) </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0.12 (-0.96, 1.21)</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0.56 (-0.59, 1.71) </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Fat free mass index (SD)</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0.71 (-0.22, 1.64) </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0.72 (-0.40, 1.84)</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1.08 (-0.11, 2.26) </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Model 3</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Body mass index (SD)</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0.58 (-0.25, 1.41) </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0.41 (-0.59, 1.42)</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0.79 (-0.27, 1.86) </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Fat mass index (SD)</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0.42 (-0.47, 1.32) </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0.21 (-0.89, 1.30)</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0.57 (-0.59, 1.73) </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Fat free mass index (SD)</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0.75 (-0.18, 1.68) </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0.70 (-0.42, 1.82)</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1.08 (-0.12, 2.27) </w:t>
            </w:r>
          </w:p>
        </w:tc>
      </w:tr>
    </w:tbl>
    <w:p w:rsidR="00DF480D" w:rsidRPr="00DF480D" w:rsidRDefault="00DF480D" w:rsidP="00DF480D">
      <w:pPr>
        <w:spacing w:after="0" w:line="200" w:lineRule="atLeast"/>
        <w:jc w:val="both"/>
        <w:rPr>
          <w:rFonts w:eastAsia="Calibri" w:cstheme="minorHAnsi"/>
          <w:sz w:val="20"/>
          <w:szCs w:val="20"/>
          <w:lang w:val="en-GB"/>
        </w:rPr>
        <w:sectPr w:rsidR="00DF480D" w:rsidRPr="00DF480D" w:rsidSect="00DF480D">
          <w:pgSz w:w="12240" w:h="15840" w:code="1"/>
          <w:pgMar w:top="1008" w:right="1008" w:bottom="1166" w:left="1008" w:header="706" w:footer="706" w:gutter="0"/>
          <w:cols w:space="708"/>
          <w:docGrid w:linePitch="360"/>
        </w:sectPr>
      </w:pPr>
      <w:r w:rsidRPr="00DF480D">
        <w:rPr>
          <w:rFonts w:eastAsia="Calibri" w:cstheme="minorHAnsi"/>
          <w:sz w:val="20"/>
          <w:szCs w:val="20"/>
          <w:lang w:val="en-GB"/>
        </w:rPr>
        <w:t>All frequencies (0.25, 0.50, 1, 2, 4, and 8 kHz); low frequencies (0.25, 0.50, and 1 kHz); high frequencies (2, 4, and 8 kHz). Difference; represents the difference in dB per one SD higher body mass index, fat mass index, fat free mass index, and lean mass index. CI: confidence interval. Model 1: adjusted for sex, age, age</w:t>
      </w:r>
      <w:r w:rsidRPr="00DF480D">
        <w:rPr>
          <w:rFonts w:eastAsia="Calibri" w:cstheme="minorHAnsi"/>
          <w:sz w:val="20"/>
          <w:szCs w:val="20"/>
          <w:vertAlign w:val="superscript"/>
          <w:lang w:val="en-GB"/>
        </w:rPr>
        <w:t>2</w:t>
      </w:r>
      <w:r w:rsidRPr="00DF480D">
        <w:rPr>
          <w:rFonts w:eastAsia="Calibri" w:cstheme="minorHAnsi"/>
          <w:sz w:val="20"/>
          <w:szCs w:val="20"/>
          <w:lang w:val="en-GB"/>
        </w:rPr>
        <w:t xml:space="preserve">, education, hearing loss at baseline, and age difference between hearing assessments. Model 2: </w:t>
      </w:r>
      <w:proofErr w:type="gramStart"/>
      <w:r w:rsidRPr="00DF480D">
        <w:rPr>
          <w:rFonts w:eastAsia="Calibri" w:cstheme="minorHAnsi"/>
          <w:sz w:val="20"/>
          <w:szCs w:val="20"/>
          <w:lang w:val="en-GB"/>
        </w:rPr>
        <w:t>additionally</w:t>
      </w:r>
      <w:proofErr w:type="gramEnd"/>
      <w:r w:rsidRPr="00DF480D">
        <w:rPr>
          <w:rFonts w:eastAsia="Calibri" w:cstheme="minorHAnsi"/>
          <w:sz w:val="20"/>
          <w:szCs w:val="20"/>
          <w:lang w:val="en-GB"/>
        </w:rPr>
        <w:t xml:space="preserve"> adjusted for brain volume, energy intake, physical activity, smoking, alcohol, hypertension, hypercholesterolemia and type 2 diabetes. Model 3: </w:t>
      </w:r>
      <w:proofErr w:type="gramStart"/>
      <w:r w:rsidRPr="00DF480D">
        <w:rPr>
          <w:rFonts w:eastAsia="Calibri" w:cstheme="minorHAnsi"/>
          <w:sz w:val="20"/>
          <w:szCs w:val="20"/>
          <w:lang w:val="en-GB"/>
        </w:rPr>
        <w:t>additionally</w:t>
      </w:r>
      <w:proofErr w:type="gramEnd"/>
      <w:r w:rsidRPr="00DF480D">
        <w:rPr>
          <w:rFonts w:eastAsia="Calibri" w:cstheme="minorHAnsi"/>
          <w:sz w:val="20"/>
          <w:szCs w:val="20"/>
          <w:lang w:val="en-GB"/>
        </w:rPr>
        <w:t xml:space="preserve"> adjusted for diet quality score. Significant effect estimates (p&lt;0.05) are indicated in </w:t>
      </w:r>
      <w:r w:rsidRPr="00DF480D">
        <w:rPr>
          <w:rFonts w:eastAsia="Calibri" w:cstheme="minorHAnsi"/>
          <w:b/>
          <w:sz w:val="20"/>
          <w:szCs w:val="20"/>
          <w:lang w:val="en-GB"/>
        </w:rPr>
        <w:t>bold</w:t>
      </w:r>
      <w:r w:rsidRPr="00DF480D">
        <w:rPr>
          <w:rFonts w:eastAsia="Calibri" w:cstheme="minorHAnsi"/>
          <w:sz w:val="20"/>
          <w:szCs w:val="20"/>
          <w:lang w:val="en-GB"/>
        </w:rPr>
        <w:t>.</w:t>
      </w:r>
    </w:p>
    <w:p w:rsidR="00DF480D" w:rsidRPr="00DF480D" w:rsidRDefault="00C9506C" w:rsidP="008E2A6F">
      <w:pPr>
        <w:spacing w:after="0" w:line="360" w:lineRule="auto"/>
        <w:rPr>
          <w:rFonts w:eastAsia="Calibri" w:cstheme="minorHAnsi"/>
          <w:b/>
          <w:lang w:val="en-GB"/>
        </w:rPr>
      </w:pPr>
      <w:r>
        <w:rPr>
          <w:rFonts w:eastAsia="Calibri" w:cstheme="minorHAnsi"/>
          <w:b/>
          <w:lang w:val="en-GB"/>
        </w:rPr>
        <w:lastRenderedPageBreak/>
        <w:t>Table S</w:t>
      </w:r>
      <w:r w:rsidR="00DF480D" w:rsidRPr="00DF480D">
        <w:rPr>
          <w:rFonts w:eastAsia="Calibri" w:cstheme="minorHAnsi"/>
          <w:b/>
          <w:lang w:val="en-GB"/>
        </w:rPr>
        <w:t>2. The cross-sectional association between diet quality, food groups and hearing thresholds – model 1</w:t>
      </w:r>
      <w:r>
        <w:rPr>
          <w:rFonts w:eastAsia="Calibri" w:cstheme="minorHAnsi"/>
          <w:b/>
          <w:lang w:val="en-GB"/>
        </w:rPr>
        <w:t>.</w:t>
      </w:r>
    </w:p>
    <w:tbl>
      <w:tblPr>
        <w:tblStyle w:val="LightShading1"/>
        <w:tblW w:w="0" w:type="auto"/>
        <w:jc w:val="center"/>
        <w:tblLook w:val="04A0" w:firstRow="1" w:lastRow="0" w:firstColumn="1" w:lastColumn="0" w:noHBand="0" w:noVBand="1"/>
      </w:tblPr>
      <w:tblGrid>
        <w:gridCol w:w="2568"/>
        <w:gridCol w:w="2552"/>
        <w:gridCol w:w="2552"/>
        <w:gridCol w:w="2552"/>
      </w:tblGrid>
      <w:tr w:rsidR="00DF480D" w:rsidRPr="00DF480D" w:rsidTr="004941C4">
        <w:trPr>
          <w:cnfStyle w:val="100000000000" w:firstRow="1" w:lastRow="0" w:firstColumn="0" w:lastColumn="0" w:oddVBand="0" w:evenVBand="0" w:oddHBand="0"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2844" w:type="dxa"/>
            <w:vMerge w:val="restart"/>
            <w:tcBorders>
              <w:bottom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All frequencies</w:t>
            </w: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Low frequencies</w:t>
            </w: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High frequencies</w:t>
            </w:r>
          </w:p>
        </w:tc>
      </w:tr>
      <w:tr w:rsidR="00DF480D" w:rsidRPr="008E2A6F" w:rsidTr="00DF480D">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2844" w:type="dxa"/>
            <w:vMerge/>
            <w:tcBorders>
              <w:top w:val="single" w:sz="8" w:space="0" w:color="000000"/>
              <w:bottom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Difference (CI 95%) </w:t>
            </w: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sz w:val="20"/>
                <w:szCs w:val="20"/>
                <w:lang w:val="en-GB"/>
              </w:rPr>
              <w:t xml:space="preserve">Difference (CI 95%) </w:t>
            </w: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sz w:val="20"/>
                <w:szCs w:val="20"/>
                <w:lang w:val="en-GB"/>
              </w:rPr>
              <w:t xml:space="preserve">Difference (CI 95%) </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tcBorders>
              <w:top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Diet quality</w:t>
            </w: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-0.15 (-0.34, 0.05) </w:t>
            </w: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 xml:space="preserve">-0.21 (-0.40, -0.02) </w:t>
            </w: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-0.06 (-0.34, 0.21) </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Vegetables </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(-0.03, 0.01)</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-0.02 (-0.03, -0.00)</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(-0.03, 0.03)</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Fruit</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(-0.02, 0.00)</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(-0.02, 0.00)</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(-0.03, 0.00)</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Whole grain products</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(-0.06, 0.04)</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-0.04 (-0.07, 0.00)</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(-0.06, 0.09)</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Whole grains/total grains ratio</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(-0.05, 0.03)</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(-0.05, 0.02)</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(-0.06, 0.05)</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Legumes</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5.40 (-2.55, 13.35)</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5.05 (-1.61, 11.71)</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4.62 (-6.75, 15.99)</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Nuts</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(-0.25, 0.21)</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-0.06 (-0.25, 0.13)</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(-0.30, 0.35)</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Dairy</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(-0.01, 0.02)</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(-0.02, 0.01)</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(-0.01, 0.03)</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Fish</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-0.07 (-0.24, 0.09)</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-0.11 (-0.24, 0.03)</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-0.07 (-0.30, 0.16)</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Tea</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-0.02 (-0.03, -0.00)</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(-0.03, 0.00)</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(-0.05, 0.00)</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Unsaturated fats/total fats ratio</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0.04 (-0.07, 0.16)</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0.05 (-0.05, 0.15)</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0.05 (-0.12, 0.21)</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Salt</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(-0.00, 0.00)</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(-0.00, 0.00)</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(-0.00, 0.00</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Alcohol</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-0.06 (-0.30, 0.19)</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-0.06 (-0.26, 0.15)</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-0.05 (-0.40, 0.29)</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Red and processed meat</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0.05 (-0.02, 0.13)</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0.06 (0.00, 0.13)</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0.04 (-0.07, 0.14)</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Sugar containing beverages</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(-0.06, 0.01)</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(-0.04, 0.01)</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(-0.07, 0.01)</w:t>
            </w:r>
          </w:p>
        </w:tc>
      </w:tr>
    </w:tbl>
    <w:p w:rsidR="00DF480D" w:rsidRPr="00DF480D" w:rsidRDefault="00DF480D" w:rsidP="008E2A6F">
      <w:pPr>
        <w:spacing w:after="0" w:line="200" w:lineRule="atLeast"/>
        <w:jc w:val="both"/>
        <w:rPr>
          <w:rFonts w:eastAsia="Calibri" w:cstheme="minorHAnsi"/>
          <w:sz w:val="20"/>
          <w:szCs w:val="20"/>
          <w:lang w:val="en-GB"/>
        </w:rPr>
        <w:sectPr w:rsidR="00DF480D" w:rsidRPr="00DF480D" w:rsidSect="00DF480D">
          <w:pgSz w:w="12240" w:h="15840" w:code="1"/>
          <w:pgMar w:top="1008" w:right="1008" w:bottom="1166" w:left="1008" w:header="706" w:footer="706" w:gutter="0"/>
          <w:cols w:space="708"/>
          <w:docGrid w:linePitch="360"/>
        </w:sectPr>
      </w:pPr>
      <w:r w:rsidRPr="00DF480D">
        <w:rPr>
          <w:rFonts w:eastAsia="Calibri" w:cstheme="minorHAnsi"/>
          <w:sz w:val="20"/>
          <w:szCs w:val="20"/>
          <w:lang w:val="en-GB"/>
        </w:rPr>
        <w:t xml:space="preserve">All frequencies (0.25, 0.50, 1, 2, 4, and 8 kHz); low frequencies (0.25, 0.50, and 1 kHz); high frequencies (2, 4, and 8 kHz). Difference represents difference in dB per </w:t>
      </w:r>
      <w:proofErr w:type="gramStart"/>
      <w:r w:rsidRPr="00DF480D">
        <w:rPr>
          <w:rFonts w:eastAsia="Calibri" w:cstheme="minorHAnsi"/>
          <w:sz w:val="20"/>
          <w:szCs w:val="20"/>
          <w:lang w:val="en-GB"/>
        </w:rPr>
        <w:t>1 point</w:t>
      </w:r>
      <w:proofErr w:type="gramEnd"/>
      <w:r w:rsidRPr="00DF480D">
        <w:rPr>
          <w:rFonts w:eastAsia="Calibri" w:cstheme="minorHAnsi"/>
          <w:sz w:val="20"/>
          <w:szCs w:val="20"/>
          <w:lang w:val="en-GB"/>
        </w:rPr>
        <w:t xml:space="preserve"> increase in diet quality score on a scale ranging from 0 to 14 or a 10 gram increase for the individual food components. CI: confidence interval. Adjusted for sex, age, age</w:t>
      </w:r>
      <w:r w:rsidRPr="00DF480D">
        <w:rPr>
          <w:rFonts w:eastAsia="Calibri" w:cstheme="minorHAnsi"/>
          <w:sz w:val="20"/>
          <w:szCs w:val="20"/>
          <w:vertAlign w:val="superscript"/>
          <w:lang w:val="en-GB"/>
        </w:rPr>
        <w:t>2</w:t>
      </w:r>
      <w:r w:rsidRPr="00DF480D">
        <w:rPr>
          <w:rFonts w:eastAsia="Calibri" w:cstheme="minorHAnsi"/>
          <w:sz w:val="20"/>
          <w:szCs w:val="20"/>
          <w:lang w:val="en-GB"/>
        </w:rPr>
        <w:t xml:space="preserve">, and education (model 1). Significant effect estimates (p&lt;0.05) are indicated in </w:t>
      </w:r>
      <w:r w:rsidRPr="00DF480D">
        <w:rPr>
          <w:rFonts w:eastAsia="Calibri" w:cstheme="minorHAnsi"/>
          <w:b/>
          <w:sz w:val="20"/>
          <w:szCs w:val="20"/>
          <w:lang w:val="en-GB"/>
        </w:rPr>
        <w:t>bold</w:t>
      </w:r>
      <w:r w:rsidRPr="00DF480D">
        <w:rPr>
          <w:rFonts w:eastAsia="Calibri" w:cstheme="minorHAnsi"/>
          <w:sz w:val="20"/>
          <w:szCs w:val="20"/>
          <w:lang w:val="en-GB"/>
        </w:rPr>
        <w:t>.</w:t>
      </w:r>
    </w:p>
    <w:p w:rsidR="00DF480D" w:rsidRPr="00DF480D" w:rsidRDefault="00BC07FC" w:rsidP="00BC07FC">
      <w:pPr>
        <w:spacing w:after="0" w:line="360" w:lineRule="auto"/>
        <w:rPr>
          <w:rFonts w:eastAsia="Calibri" w:cstheme="minorHAnsi"/>
          <w:b/>
          <w:lang w:val="en-GB"/>
        </w:rPr>
      </w:pPr>
      <w:r>
        <w:rPr>
          <w:rFonts w:ascii="Times New Roman" w:eastAsia="Calibri" w:hAnsi="Times New Roman" w:cs="Times New Roman"/>
          <w:b/>
          <w:lang w:val="en-GB"/>
        </w:rPr>
        <w:lastRenderedPageBreak/>
        <w:t>Table S</w:t>
      </w:r>
      <w:r w:rsidR="00DF480D" w:rsidRPr="00DF480D">
        <w:rPr>
          <w:rFonts w:ascii="Times New Roman" w:eastAsia="Calibri" w:hAnsi="Times New Roman" w:cs="Times New Roman"/>
          <w:b/>
          <w:lang w:val="en-GB"/>
        </w:rPr>
        <w:t>3. The cross-sectional association between diet quality, food groups and hearing thresholds – model 2</w:t>
      </w:r>
      <w:r>
        <w:rPr>
          <w:rFonts w:eastAsia="Calibri" w:cstheme="minorHAnsi"/>
          <w:b/>
          <w:lang w:val="en-GB"/>
        </w:rPr>
        <w:t>.</w:t>
      </w:r>
    </w:p>
    <w:tbl>
      <w:tblPr>
        <w:tblStyle w:val="LightShading1"/>
        <w:tblW w:w="0" w:type="auto"/>
        <w:jc w:val="center"/>
        <w:tblLook w:val="04A0" w:firstRow="1" w:lastRow="0" w:firstColumn="1" w:lastColumn="0" w:noHBand="0" w:noVBand="1"/>
      </w:tblPr>
      <w:tblGrid>
        <w:gridCol w:w="2568"/>
        <w:gridCol w:w="2552"/>
        <w:gridCol w:w="2552"/>
        <w:gridCol w:w="2552"/>
      </w:tblGrid>
      <w:tr w:rsidR="00DF480D" w:rsidRPr="00DF480D" w:rsidTr="004941C4">
        <w:trPr>
          <w:cnfStyle w:val="100000000000" w:firstRow="1" w:lastRow="0" w:firstColumn="0" w:lastColumn="0" w:oddVBand="0" w:evenVBand="0" w:oddHBand="0"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2844" w:type="dxa"/>
            <w:vMerge w:val="restart"/>
            <w:tcBorders>
              <w:bottom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All frequencies</w:t>
            </w: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Low frequencies</w:t>
            </w: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High frequencies</w:t>
            </w:r>
          </w:p>
        </w:tc>
      </w:tr>
      <w:tr w:rsidR="00DF480D" w:rsidRPr="00886A0C" w:rsidTr="00DF480D">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2844" w:type="dxa"/>
            <w:vMerge/>
            <w:tcBorders>
              <w:top w:val="single" w:sz="8" w:space="0" w:color="000000"/>
              <w:bottom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Difference (CI 95%) p-value</w:t>
            </w: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sz w:val="20"/>
                <w:szCs w:val="20"/>
                <w:lang w:val="en-GB"/>
              </w:rPr>
              <w:t>Difference (CI 95%) p-value</w:t>
            </w: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sz w:val="20"/>
                <w:szCs w:val="20"/>
                <w:lang w:val="en-GB"/>
              </w:rPr>
              <w:t>Difference (CI 95%) p-value</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tcBorders>
              <w:top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Diet quality</w:t>
            </w: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-0.11 (-0.35, 0.14) </w:t>
            </w: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-0.17 (-0.38, 0.04) </w:t>
            </w: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-0.06 (-0.42, 0.29) </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Vegetables </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(-0.04, 0.01)</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(-0.04, 0.01)</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(-0.05, 0.03)</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Fruit</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(-0.02, 0.01)</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(-0.02, 0.01)</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(-0.03, 0.01)</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Whole grain products</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(-0.06, 0.06)</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(-0.08, 0.02)</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(-0.06, 0.12)</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Whole grains/total grains ratio</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(-0.05, 0.06)</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(-0.05, 0.05)</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(-0.07, 0.10)</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Legumes</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6.91 (-2.75, 16.57)</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8.03 (-0.02, 16.07)</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4.49 (-9.49, 18.47)</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Nuts</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(-0.31, 0.25)</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(-0.27, 0.20)</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(-0.23, 0.19)</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Dairy</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(-0.01, 0.02)</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(-0.02, 0.01)</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(-0.01, 0.04)</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Fish</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-0.05 (-0.25, 0.15)</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-0.09 (-0.25, 0.08)</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-0.04 (-0.33, 0.25)</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Tea</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(-0.03, 0.01)</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(-0.02, 0.01)</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(-0.05, 0.01)</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Unsaturated fats/total fats ratio</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0.14 (-0.02, 0.29)</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0.16 (0.03, 0.29)</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0.14 (-0.09, 0.36)</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Salt</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(-0.00, 0.00)</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(-0.00, 0.00)</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(-0.00, 0.01)</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Alcohol</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-0.07 (-0.37, 0.22)</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-0.06 (-0.31, 0.18)</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-0.10 (-0.52, 0.33)</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Red and processed meat</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0.05 (-0.04, 0.14)</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0.06 (-0.02, 0.15)</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(-0.05, 0.09)</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Sugar containing beverages</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-0.04 (-0.08, -0.00)</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-0.04 (-0.07, -0.01)</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-0.04 (-0.09, 0.01)</w:t>
            </w:r>
          </w:p>
        </w:tc>
      </w:tr>
    </w:tbl>
    <w:p w:rsidR="00DF480D" w:rsidRPr="00DF480D" w:rsidRDefault="00DF480D" w:rsidP="00C9506C">
      <w:pPr>
        <w:spacing w:after="0" w:line="200" w:lineRule="atLeast"/>
        <w:jc w:val="both"/>
        <w:rPr>
          <w:rFonts w:eastAsia="Calibri" w:cstheme="minorHAnsi"/>
          <w:sz w:val="20"/>
          <w:szCs w:val="20"/>
          <w:lang w:val="en-GB"/>
        </w:rPr>
        <w:sectPr w:rsidR="00DF480D" w:rsidRPr="00DF480D" w:rsidSect="00DF480D">
          <w:pgSz w:w="12240" w:h="15840" w:code="1"/>
          <w:pgMar w:top="1008" w:right="1008" w:bottom="1166" w:left="1008" w:header="706" w:footer="706" w:gutter="0"/>
          <w:cols w:space="708"/>
          <w:docGrid w:linePitch="360"/>
        </w:sectPr>
      </w:pPr>
      <w:r w:rsidRPr="00DF480D">
        <w:rPr>
          <w:rFonts w:eastAsia="Calibri" w:cstheme="minorHAnsi"/>
          <w:sz w:val="20"/>
          <w:szCs w:val="20"/>
          <w:lang w:val="en-GB"/>
        </w:rPr>
        <w:t xml:space="preserve">All frequencies (0.25, 0.50, 1, 2, 4, and 8 kHz); low frequencies (0.25, 0.50, and 1 kHz); high frequencies (2, 4, and 8 kHz). Difference represents difference in dB per </w:t>
      </w:r>
      <w:proofErr w:type="gramStart"/>
      <w:r w:rsidRPr="00DF480D">
        <w:rPr>
          <w:rFonts w:eastAsia="Calibri" w:cstheme="minorHAnsi"/>
          <w:sz w:val="20"/>
          <w:szCs w:val="20"/>
          <w:lang w:val="en-GB"/>
        </w:rPr>
        <w:t>1 point</w:t>
      </w:r>
      <w:proofErr w:type="gramEnd"/>
      <w:r w:rsidRPr="00DF480D">
        <w:rPr>
          <w:rFonts w:eastAsia="Calibri" w:cstheme="minorHAnsi"/>
          <w:sz w:val="20"/>
          <w:szCs w:val="20"/>
          <w:lang w:val="en-GB"/>
        </w:rPr>
        <w:t xml:space="preserve"> increase in diet quality score on a scale ranging from 0 to 14 or a 10 gram increase for the individual food components. CI: confidence interval. Adjusted for sex, age, age</w:t>
      </w:r>
      <w:r w:rsidRPr="00DF480D">
        <w:rPr>
          <w:rFonts w:eastAsia="Calibri" w:cstheme="minorHAnsi"/>
          <w:sz w:val="20"/>
          <w:szCs w:val="20"/>
          <w:vertAlign w:val="superscript"/>
          <w:lang w:val="en-GB"/>
        </w:rPr>
        <w:t>2</w:t>
      </w:r>
      <w:r w:rsidRPr="00DF480D">
        <w:rPr>
          <w:rFonts w:eastAsia="Calibri" w:cstheme="minorHAnsi"/>
          <w:sz w:val="20"/>
          <w:szCs w:val="20"/>
          <w:lang w:val="en-GB"/>
        </w:rPr>
        <w:t>, education, physical activity, smoking (former and current), alcohol intake, hypertension, hypercholesterolemia, prevalent diabetes mellitus, total brain volume and energy intake (model 2). We did not adjust for alcohol intake in grams in the assessment of alcohol with hearing thresholds</w:t>
      </w:r>
      <w:r w:rsidR="006D439B">
        <w:rPr>
          <w:rFonts w:eastAsia="Calibri" w:cstheme="minorHAnsi"/>
          <w:sz w:val="20"/>
          <w:szCs w:val="20"/>
          <w:lang w:val="en-GB"/>
        </w:rPr>
        <w:t>.</w:t>
      </w:r>
      <w:r w:rsidRPr="00DF480D" w:rsidDel="00FF47D8">
        <w:rPr>
          <w:rFonts w:eastAsia="Calibri" w:cstheme="minorHAnsi"/>
          <w:sz w:val="20"/>
          <w:szCs w:val="20"/>
          <w:lang w:val="en-GB"/>
        </w:rPr>
        <w:t xml:space="preserve"> </w:t>
      </w:r>
      <w:r w:rsidRPr="00DF480D">
        <w:rPr>
          <w:rFonts w:eastAsia="Calibri" w:cstheme="minorHAnsi"/>
          <w:sz w:val="20"/>
          <w:szCs w:val="20"/>
          <w:lang w:val="en-GB"/>
        </w:rPr>
        <w:t xml:space="preserve"> Significant effect estimates (p&lt;0.05) are indicated in </w:t>
      </w:r>
      <w:r w:rsidRPr="00DF480D">
        <w:rPr>
          <w:rFonts w:eastAsia="Calibri" w:cstheme="minorHAnsi"/>
          <w:b/>
          <w:sz w:val="20"/>
          <w:szCs w:val="20"/>
          <w:lang w:val="en-GB"/>
        </w:rPr>
        <w:t>bold</w:t>
      </w:r>
      <w:r w:rsidR="006D439B">
        <w:rPr>
          <w:rFonts w:eastAsia="Calibri" w:cstheme="minorHAnsi"/>
          <w:b/>
          <w:sz w:val="20"/>
          <w:szCs w:val="20"/>
          <w:lang w:val="en-GB"/>
        </w:rPr>
        <w:t>.</w:t>
      </w:r>
    </w:p>
    <w:p w:rsidR="00DF480D" w:rsidRPr="00DF480D" w:rsidRDefault="00401A79" w:rsidP="00FA5961">
      <w:pPr>
        <w:spacing w:after="0" w:line="360" w:lineRule="auto"/>
        <w:rPr>
          <w:rFonts w:eastAsia="Calibri" w:cstheme="minorHAnsi"/>
          <w:b/>
          <w:lang w:val="en-GB"/>
        </w:rPr>
      </w:pPr>
      <w:r>
        <w:rPr>
          <w:rFonts w:eastAsia="Calibri" w:cstheme="minorHAnsi"/>
          <w:b/>
          <w:lang w:val="en-GB"/>
        </w:rPr>
        <w:lastRenderedPageBreak/>
        <w:t>Table S</w:t>
      </w:r>
      <w:r w:rsidR="00DF480D" w:rsidRPr="00DF480D">
        <w:rPr>
          <w:rFonts w:eastAsia="Calibri" w:cstheme="minorHAnsi"/>
          <w:b/>
          <w:lang w:val="en-GB"/>
        </w:rPr>
        <w:t>4. The longitudinal association between diet quality, food groups and change in hearing thresholds – model 1</w:t>
      </w:r>
      <w:r>
        <w:rPr>
          <w:rFonts w:eastAsia="Calibri" w:cstheme="minorHAnsi"/>
          <w:b/>
          <w:lang w:val="en-GB"/>
        </w:rPr>
        <w:t>.</w:t>
      </w:r>
    </w:p>
    <w:tbl>
      <w:tblPr>
        <w:tblStyle w:val="LightShading1"/>
        <w:tblW w:w="0" w:type="auto"/>
        <w:jc w:val="center"/>
        <w:tblLook w:val="04A0" w:firstRow="1" w:lastRow="0" w:firstColumn="1" w:lastColumn="0" w:noHBand="0" w:noVBand="1"/>
      </w:tblPr>
      <w:tblGrid>
        <w:gridCol w:w="2568"/>
        <w:gridCol w:w="2552"/>
        <w:gridCol w:w="2552"/>
        <w:gridCol w:w="2552"/>
      </w:tblGrid>
      <w:tr w:rsidR="00DF480D" w:rsidRPr="00DF480D" w:rsidTr="004941C4">
        <w:trPr>
          <w:cnfStyle w:val="100000000000" w:firstRow="1" w:lastRow="0" w:firstColumn="0" w:lastColumn="0" w:oddVBand="0" w:evenVBand="0" w:oddHBand="0"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2844" w:type="dxa"/>
            <w:vMerge w:val="restart"/>
            <w:tcBorders>
              <w:bottom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All frequencies</w:t>
            </w: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Low frequencies</w:t>
            </w: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High frequencies</w:t>
            </w:r>
          </w:p>
        </w:tc>
      </w:tr>
      <w:tr w:rsidR="00DF480D" w:rsidRPr="00401A79" w:rsidTr="00DF480D">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2844" w:type="dxa"/>
            <w:vMerge/>
            <w:tcBorders>
              <w:top w:val="single" w:sz="8" w:space="0" w:color="000000"/>
              <w:bottom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Difference (CI 95%) </w:t>
            </w: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sz w:val="20"/>
                <w:szCs w:val="20"/>
                <w:lang w:val="en-GB"/>
              </w:rPr>
              <w:t xml:space="preserve">Difference (CI 95%) </w:t>
            </w: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sz w:val="20"/>
                <w:szCs w:val="20"/>
                <w:lang w:val="en-GB"/>
              </w:rPr>
              <w:t xml:space="preserve">Difference (CI 95%) </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tcBorders>
              <w:top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Diet quality</w:t>
            </w: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-0.02 (-0.20, 0.17) </w:t>
            </w: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-0.00 (-0.21, 0.20) </w:t>
            </w: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-0.08 (-0.34, 0.18) </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Vegetables </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(-0.03, 0.01)</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(-0.02, 0.03)</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(-0.05, 0.01)</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Fruit</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(-0.01, 0.01)</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(-0.01, 0.01)</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(-0.01, 0.02)</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Whole grain products</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(-0.07, 0.03)</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-0.04 (-0.09, 0.02)</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(-0.08, 0.06)</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Whole grains/total grains ratio</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(-0.05, 0.03)</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(-0.06, 0.04)</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(-0.06, 0.05)</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Legumes</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2.67 (-5.11, 10.45)</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4.41 (-4.34, 13.15)</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0.36 (-10.45, 11.17)</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Nuts</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(-0.26, 0.25)</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0.17 (-0.12, 0.45)</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-0.20 (-0.55, 0.16)</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Dairy</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(-0.01, 0.02)</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(-0.02, 0.02)</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(-0.02, 0.03)</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Fish</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0.11 (-0.05, 0.27)</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0.24 (0.06, 0.42)</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(-0.21, 0.24)</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Tea</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(-0.03, 0.01)</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(-0.03, 0.01)</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(-0.04, 0.01)</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Unsaturated fats/total fats ratio</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-0.07 (-0.20, 0.07)</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-0.11 (-0.26, 0.05)</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(-0.22, 0.16)</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Salt</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(-0.00, 0.00)</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(-0.00, 0.00)</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(-0.00, 0.00)</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Alcohol</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(-0.23, 0.26)</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0.16 (-0.12, 0.44)</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-0.13 (-0.48, 0.21)</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Red and processed meat</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0.05 (-0.02, 0.13)</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0.09 (0.00, 0.17)</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(-0.07, 0.14)</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Sugar containing beverages</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(-0.01, 0.06)</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(-0.02, 0.06)</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(-0.05, 0.05)</w:t>
            </w:r>
          </w:p>
        </w:tc>
      </w:tr>
    </w:tbl>
    <w:p w:rsidR="00DF480D" w:rsidRPr="00DF480D" w:rsidRDefault="00DF480D" w:rsidP="00401A79">
      <w:pPr>
        <w:spacing w:after="0" w:line="200" w:lineRule="atLeast"/>
        <w:jc w:val="both"/>
        <w:rPr>
          <w:rFonts w:eastAsia="Calibri" w:cstheme="minorHAnsi"/>
          <w:sz w:val="20"/>
          <w:szCs w:val="20"/>
          <w:lang w:val="en-GB"/>
        </w:rPr>
        <w:sectPr w:rsidR="00DF480D" w:rsidRPr="00DF480D" w:rsidSect="00DF480D">
          <w:pgSz w:w="12240" w:h="15840" w:code="1"/>
          <w:pgMar w:top="1008" w:right="1008" w:bottom="1166" w:left="1008" w:header="706" w:footer="706" w:gutter="0"/>
          <w:cols w:space="708"/>
          <w:docGrid w:linePitch="360"/>
        </w:sectPr>
      </w:pPr>
      <w:r w:rsidRPr="00DF480D">
        <w:rPr>
          <w:rFonts w:eastAsia="Calibri" w:cstheme="minorHAnsi"/>
          <w:sz w:val="20"/>
          <w:szCs w:val="20"/>
          <w:lang w:val="en-GB"/>
        </w:rPr>
        <w:t xml:space="preserve">All frequencies (0.25, 0.50, 1, 2, 4, and 8 kHz); low frequencies (0.25, 0.50, and 1 kHz); high frequencies (2, 4, and 8 kHz). Difference represents difference in dB per </w:t>
      </w:r>
      <w:proofErr w:type="gramStart"/>
      <w:r w:rsidRPr="00DF480D">
        <w:rPr>
          <w:rFonts w:eastAsia="Calibri" w:cstheme="minorHAnsi"/>
          <w:sz w:val="20"/>
          <w:szCs w:val="20"/>
          <w:lang w:val="en-GB"/>
        </w:rPr>
        <w:t>1 point</w:t>
      </w:r>
      <w:proofErr w:type="gramEnd"/>
      <w:r w:rsidRPr="00DF480D">
        <w:rPr>
          <w:rFonts w:eastAsia="Calibri" w:cstheme="minorHAnsi"/>
          <w:sz w:val="20"/>
          <w:szCs w:val="20"/>
          <w:lang w:val="en-GB"/>
        </w:rPr>
        <w:t xml:space="preserve"> increase in diet quality score on a scale ranging from 0 to 14 or a 10 gram increase for the individual food components. CI: confidence interval. Adjusted for sex, age at baseline, age</w:t>
      </w:r>
      <w:r w:rsidRPr="00DF480D">
        <w:rPr>
          <w:rFonts w:eastAsia="Calibri" w:cstheme="minorHAnsi"/>
          <w:sz w:val="20"/>
          <w:szCs w:val="20"/>
          <w:vertAlign w:val="superscript"/>
          <w:lang w:val="en-GB"/>
        </w:rPr>
        <w:t>2</w:t>
      </w:r>
      <w:r w:rsidRPr="00DF480D">
        <w:rPr>
          <w:rFonts w:eastAsia="Calibri" w:cstheme="minorHAnsi"/>
          <w:sz w:val="20"/>
          <w:szCs w:val="20"/>
          <w:lang w:val="en-GB"/>
        </w:rPr>
        <w:t xml:space="preserve">, education, time between baseline and follow-up hearing assessment and baseline hearing thresholds (model 1). Significant effect estimates (p&lt;0.05) are indicated in </w:t>
      </w:r>
      <w:r w:rsidRPr="00DF480D">
        <w:rPr>
          <w:rFonts w:eastAsia="Calibri" w:cstheme="minorHAnsi"/>
          <w:b/>
          <w:sz w:val="20"/>
          <w:szCs w:val="20"/>
          <w:lang w:val="en-GB"/>
        </w:rPr>
        <w:t>bold</w:t>
      </w:r>
      <w:r w:rsidRPr="00DF480D">
        <w:rPr>
          <w:rFonts w:eastAsia="Calibri" w:cstheme="minorHAnsi"/>
          <w:sz w:val="20"/>
          <w:szCs w:val="20"/>
          <w:lang w:val="en-GB"/>
        </w:rPr>
        <w:t>.</w:t>
      </w:r>
    </w:p>
    <w:p w:rsidR="00DF480D" w:rsidRPr="00DF480D" w:rsidRDefault="00BD4BAA" w:rsidP="00401A79">
      <w:pPr>
        <w:spacing w:after="0" w:line="360" w:lineRule="auto"/>
        <w:rPr>
          <w:rFonts w:eastAsia="Calibri" w:cstheme="minorHAnsi"/>
          <w:b/>
          <w:lang w:val="en-GB"/>
        </w:rPr>
      </w:pPr>
      <w:r>
        <w:rPr>
          <w:rFonts w:eastAsia="Calibri" w:cstheme="minorHAnsi"/>
          <w:b/>
          <w:lang w:val="en-GB"/>
        </w:rPr>
        <w:lastRenderedPageBreak/>
        <w:t>Table S</w:t>
      </w:r>
      <w:r w:rsidR="00DF480D" w:rsidRPr="00DF480D">
        <w:rPr>
          <w:rFonts w:eastAsia="Calibri" w:cstheme="minorHAnsi"/>
          <w:b/>
          <w:lang w:val="en-GB"/>
        </w:rPr>
        <w:t>5. The longitudinal association between diet quality, food groups and change in hearing thresholds – model 2</w:t>
      </w:r>
      <w:r w:rsidR="00886A0C">
        <w:rPr>
          <w:rFonts w:eastAsia="Calibri" w:cstheme="minorHAnsi"/>
          <w:b/>
          <w:lang w:val="en-GB"/>
        </w:rPr>
        <w:t>.</w:t>
      </w:r>
    </w:p>
    <w:tbl>
      <w:tblPr>
        <w:tblStyle w:val="LightShading1"/>
        <w:tblW w:w="0" w:type="auto"/>
        <w:jc w:val="center"/>
        <w:tblLook w:val="04A0" w:firstRow="1" w:lastRow="0" w:firstColumn="1" w:lastColumn="0" w:noHBand="0" w:noVBand="1"/>
      </w:tblPr>
      <w:tblGrid>
        <w:gridCol w:w="2568"/>
        <w:gridCol w:w="2552"/>
        <w:gridCol w:w="2552"/>
        <w:gridCol w:w="2552"/>
      </w:tblGrid>
      <w:tr w:rsidR="00DF480D" w:rsidRPr="00DF480D" w:rsidTr="004941C4">
        <w:trPr>
          <w:cnfStyle w:val="100000000000" w:firstRow="1" w:lastRow="0" w:firstColumn="0" w:lastColumn="0" w:oddVBand="0" w:evenVBand="0" w:oddHBand="0"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2844" w:type="dxa"/>
            <w:vMerge w:val="restart"/>
            <w:tcBorders>
              <w:bottom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All frequencies</w:t>
            </w: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Low frequencies</w:t>
            </w: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High frequencies</w:t>
            </w:r>
          </w:p>
        </w:tc>
      </w:tr>
      <w:tr w:rsidR="00DF480D" w:rsidRPr="00401A79" w:rsidTr="00DF480D">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2844" w:type="dxa"/>
            <w:vMerge/>
            <w:tcBorders>
              <w:top w:val="single" w:sz="8" w:space="0" w:color="000000"/>
              <w:bottom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Difference (CI 95%) </w:t>
            </w: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sz w:val="20"/>
                <w:szCs w:val="20"/>
                <w:lang w:val="en-GB"/>
              </w:rPr>
              <w:t xml:space="preserve">Difference (CI 95%) </w:t>
            </w: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sz w:val="20"/>
                <w:szCs w:val="20"/>
                <w:lang w:val="en-GB"/>
              </w:rPr>
              <w:t xml:space="preserve">Difference (CI 95%) </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tcBorders>
              <w:top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Diet quality</w:t>
            </w: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-0.12 (-0.53, 0.30) </w:t>
            </w: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-0.19 (-0.73, 0.35) </w:t>
            </w: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-0.20 (-0.78, 0.39) </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Vegetables </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-0.04 (-0.08, 0.00)</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(-0.08, 0.03)</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-0.06 (-0.12, -0.01)</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Fruit</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(-0.01, 0.04)</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(-0.03, 0.03)</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(-0.00, 0.06)</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Whole grain products</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0.05 (-0.06, 0.16)</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(-0.11, 0.16)</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0.05 (-0.10, 0.20)</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Whole grains/total grains ratio</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(-0.08, 0.13)</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0.04 (-0.09, 0.16)</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(-0.11, 0.16)</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Legumes</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0.99 (-14.55, 16.53)</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4.30 (-14.33, 22.93)</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-6.66 (-26.96, 13.65)</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Nuts</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-0.97 (-1.55, -0.40)</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-0.67 (-1.38, 0.04)</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-1.14 (-1.91, -0.37)</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Dairy</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(-0.02, 0.06)</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(-0.05, 0.05)</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(-0.03, 0.08)</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Fish</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0.18 (-0.14, 0.50)</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0.21 (-0.18, 0.60)</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(-0.45, 0.39)</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Tea</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(-0.05, 0.03)</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(-0.06, 0.03)</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(-0.05, 0.05)</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Unsaturated fats/total fats ratio</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(-0.36, 0.32)</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(-0.45, 0.38)</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0.15 (-0.30, 0.60)</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Salt</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(-0.01, 0.01)</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(-0.00, 0.01)</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(-0.01, 0.01)</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Alcohol</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-0.10 (-0.71, 0.51)</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-0.37 (-1.10, 0.37)</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0.16 (-0.65, 0.97)</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Red and processed meat</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(-0.16, 0.22)</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0.16 (-0.07, 0.39)</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(-0.27, 0.24)</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Sugar containing beverages</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(-0.05, 0.10)</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0.06 (-0.04, 0.15)</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-0.07 (-0.17, 0.04)</w:t>
            </w:r>
          </w:p>
        </w:tc>
      </w:tr>
    </w:tbl>
    <w:p w:rsidR="00DF480D" w:rsidRPr="00DF480D" w:rsidRDefault="00DF480D" w:rsidP="00401A79">
      <w:pPr>
        <w:spacing w:after="0" w:line="200" w:lineRule="atLeast"/>
        <w:jc w:val="both"/>
        <w:rPr>
          <w:rFonts w:eastAsia="Calibri" w:cstheme="minorHAnsi"/>
          <w:sz w:val="20"/>
          <w:szCs w:val="20"/>
          <w:lang w:val="en-GB"/>
        </w:rPr>
        <w:sectPr w:rsidR="00DF480D" w:rsidRPr="00DF480D" w:rsidSect="00DF480D">
          <w:pgSz w:w="12240" w:h="15840" w:code="1"/>
          <w:pgMar w:top="1008" w:right="1008" w:bottom="1166" w:left="1008" w:header="706" w:footer="706" w:gutter="0"/>
          <w:cols w:space="708"/>
          <w:docGrid w:linePitch="360"/>
        </w:sectPr>
      </w:pPr>
      <w:r w:rsidRPr="00DF480D">
        <w:rPr>
          <w:rFonts w:eastAsia="Calibri" w:cstheme="minorHAnsi"/>
          <w:sz w:val="20"/>
          <w:szCs w:val="20"/>
          <w:lang w:val="en-GB"/>
        </w:rPr>
        <w:t xml:space="preserve">All frequencies (0.25, 0.50, 1, 2, 4, and 8 kHz); low frequencies (0.25, 0.50, and 1 kHz); high frequencies (2, 4, and 8 kHz). Difference represents difference in dB per </w:t>
      </w:r>
      <w:proofErr w:type="gramStart"/>
      <w:r w:rsidRPr="00DF480D">
        <w:rPr>
          <w:rFonts w:eastAsia="Calibri" w:cstheme="minorHAnsi"/>
          <w:sz w:val="20"/>
          <w:szCs w:val="20"/>
          <w:lang w:val="en-GB"/>
        </w:rPr>
        <w:t>1 point</w:t>
      </w:r>
      <w:proofErr w:type="gramEnd"/>
      <w:r w:rsidRPr="00DF480D">
        <w:rPr>
          <w:rFonts w:eastAsia="Calibri" w:cstheme="minorHAnsi"/>
          <w:sz w:val="20"/>
          <w:szCs w:val="20"/>
          <w:lang w:val="en-GB"/>
        </w:rPr>
        <w:t xml:space="preserve"> increase in diet quality score on a scale ranging from 0 to 14 or a 10 gram increase for the individual food components. CI: confidence interval. Adjusted for sex, age at baseline, age</w:t>
      </w:r>
      <w:r w:rsidRPr="00DF480D">
        <w:rPr>
          <w:rFonts w:eastAsia="Calibri" w:cstheme="minorHAnsi"/>
          <w:sz w:val="20"/>
          <w:szCs w:val="20"/>
          <w:vertAlign w:val="superscript"/>
          <w:lang w:val="en-GB"/>
        </w:rPr>
        <w:t>2</w:t>
      </w:r>
      <w:r w:rsidRPr="00DF480D">
        <w:rPr>
          <w:rFonts w:eastAsia="Calibri" w:cstheme="minorHAnsi"/>
          <w:sz w:val="20"/>
          <w:szCs w:val="20"/>
          <w:lang w:val="en-GB"/>
        </w:rPr>
        <w:t>, education, time between baseline and follow-up hearing assessment, baseline hearing thresholds, total brain volume, energy intake, physical activity, smoking (former and current), alcohol intake, hypertension, hypercholesterolemia and prevalent diabetes mellitus (model 2). We did not adjust for alcohol intake in grams in the assessment of alcohol with hearing thresholds</w:t>
      </w:r>
      <w:r w:rsidR="006D439B">
        <w:rPr>
          <w:rFonts w:eastAsia="Calibri" w:cstheme="minorHAnsi"/>
          <w:sz w:val="20"/>
          <w:szCs w:val="20"/>
          <w:lang w:val="en-GB"/>
        </w:rPr>
        <w:t>.</w:t>
      </w:r>
      <w:bookmarkStart w:id="0" w:name="_GoBack"/>
      <w:bookmarkEnd w:id="0"/>
      <w:r w:rsidRPr="00DF480D" w:rsidDel="00FF47D8">
        <w:rPr>
          <w:rFonts w:eastAsia="Calibri" w:cstheme="minorHAnsi"/>
          <w:sz w:val="20"/>
          <w:szCs w:val="20"/>
          <w:lang w:val="en-GB"/>
        </w:rPr>
        <w:t xml:space="preserve"> </w:t>
      </w:r>
      <w:r w:rsidRPr="00DF480D">
        <w:rPr>
          <w:rFonts w:eastAsia="Calibri" w:cstheme="minorHAnsi"/>
          <w:sz w:val="20"/>
          <w:szCs w:val="20"/>
          <w:lang w:val="en-GB"/>
        </w:rPr>
        <w:t xml:space="preserve"> </w:t>
      </w:r>
      <w:proofErr w:type="gramStart"/>
      <w:r w:rsidRPr="00DF480D">
        <w:rPr>
          <w:rFonts w:eastAsia="Calibri" w:cstheme="minorHAnsi"/>
          <w:sz w:val="20"/>
          <w:szCs w:val="20"/>
          <w:lang w:val="en-GB"/>
        </w:rPr>
        <w:t>Significant</w:t>
      </w:r>
      <w:proofErr w:type="gramEnd"/>
      <w:r w:rsidRPr="00DF480D">
        <w:rPr>
          <w:rFonts w:eastAsia="Calibri" w:cstheme="minorHAnsi"/>
          <w:sz w:val="20"/>
          <w:szCs w:val="20"/>
          <w:lang w:val="en-GB"/>
        </w:rPr>
        <w:t xml:space="preserve"> effect estimates (p&lt;0.05) are indicated in </w:t>
      </w:r>
      <w:r w:rsidRPr="00DF480D">
        <w:rPr>
          <w:rFonts w:eastAsia="Calibri" w:cstheme="minorHAnsi"/>
          <w:b/>
          <w:sz w:val="20"/>
          <w:szCs w:val="20"/>
          <w:lang w:val="en-GB"/>
        </w:rPr>
        <w:t>bold</w:t>
      </w:r>
      <w:r w:rsidRPr="00DF480D">
        <w:rPr>
          <w:rFonts w:eastAsia="Calibri" w:cstheme="minorHAnsi"/>
          <w:sz w:val="20"/>
          <w:szCs w:val="20"/>
          <w:lang w:val="en-GB"/>
        </w:rPr>
        <w:t>.</w:t>
      </w:r>
    </w:p>
    <w:p w:rsidR="00DF480D" w:rsidRPr="00DF480D" w:rsidRDefault="00A210A5" w:rsidP="00423903">
      <w:pPr>
        <w:spacing w:after="0" w:line="360" w:lineRule="auto"/>
        <w:rPr>
          <w:rFonts w:eastAsia="Calibri" w:cstheme="minorHAnsi"/>
          <w:b/>
          <w:lang w:val="en-GB"/>
        </w:rPr>
      </w:pPr>
      <w:r>
        <w:rPr>
          <w:rFonts w:eastAsia="Calibri" w:cstheme="minorHAnsi"/>
          <w:b/>
          <w:lang w:val="en-GB"/>
        </w:rPr>
        <w:lastRenderedPageBreak/>
        <w:t>Table S</w:t>
      </w:r>
      <w:r w:rsidR="00DF480D" w:rsidRPr="00DF480D">
        <w:rPr>
          <w:rFonts w:eastAsia="Calibri" w:cstheme="minorHAnsi"/>
          <w:b/>
          <w:lang w:val="en-GB"/>
        </w:rPr>
        <w:t>6. The longitudinal association between diet quality, food groups and change in hearing thresholds – model 3</w:t>
      </w:r>
      <w:r w:rsidR="00423903">
        <w:rPr>
          <w:rFonts w:eastAsia="Calibri" w:cstheme="minorHAnsi"/>
          <w:b/>
          <w:lang w:val="en-GB"/>
        </w:rPr>
        <w:t>.</w:t>
      </w:r>
    </w:p>
    <w:tbl>
      <w:tblPr>
        <w:tblStyle w:val="LightShading1"/>
        <w:tblW w:w="0" w:type="auto"/>
        <w:jc w:val="center"/>
        <w:tblLook w:val="04A0" w:firstRow="1" w:lastRow="0" w:firstColumn="1" w:lastColumn="0" w:noHBand="0" w:noVBand="1"/>
      </w:tblPr>
      <w:tblGrid>
        <w:gridCol w:w="2568"/>
        <w:gridCol w:w="2552"/>
        <w:gridCol w:w="2552"/>
        <w:gridCol w:w="2552"/>
      </w:tblGrid>
      <w:tr w:rsidR="00DF480D" w:rsidRPr="00DF480D" w:rsidTr="004941C4">
        <w:trPr>
          <w:cnfStyle w:val="100000000000" w:firstRow="1" w:lastRow="0" w:firstColumn="0" w:lastColumn="0" w:oddVBand="0" w:evenVBand="0" w:oddHBand="0"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2844" w:type="dxa"/>
            <w:vMerge w:val="restart"/>
            <w:tcBorders>
              <w:bottom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All frequencies</w:t>
            </w: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Low frequencies</w:t>
            </w:r>
          </w:p>
        </w:tc>
        <w:tc>
          <w:tcPr>
            <w:tcW w:w="2844" w:type="dxa"/>
            <w:shd w:val="clear" w:color="auto" w:fill="auto"/>
          </w:tcPr>
          <w:p w:rsidR="00DF480D" w:rsidRPr="00DF480D" w:rsidRDefault="00DF480D" w:rsidP="00DF480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High frequencies</w:t>
            </w:r>
          </w:p>
        </w:tc>
      </w:tr>
      <w:tr w:rsidR="00DF480D" w:rsidRPr="00423903" w:rsidTr="00DF480D">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2844" w:type="dxa"/>
            <w:vMerge/>
            <w:tcBorders>
              <w:top w:val="single" w:sz="8" w:space="0" w:color="000000"/>
              <w:bottom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Difference (CI 95%) </w:t>
            </w: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sz w:val="20"/>
                <w:szCs w:val="20"/>
                <w:lang w:val="en-GB"/>
              </w:rPr>
              <w:t xml:space="preserve">Difference (CI 95%) </w:t>
            </w:r>
          </w:p>
        </w:tc>
        <w:tc>
          <w:tcPr>
            <w:tcW w:w="2844" w:type="dxa"/>
            <w:tcBorders>
              <w:top w:val="single" w:sz="8" w:space="0" w:color="000000"/>
              <w:bottom w:val="single" w:sz="4" w:space="0" w:color="auto"/>
            </w:tcBorders>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sz w:val="20"/>
                <w:szCs w:val="20"/>
                <w:lang w:val="en-GB"/>
              </w:rPr>
              <w:t xml:space="preserve">Difference (CI 95%) </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tcBorders>
              <w:top w:val="single" w:sz="4" w:space="0" w:color="auto"/>
            </w:tcBorders>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Diet quality</w:t>
            </w: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-0.19 (-0.63, 0.26)</w:t>
            </w: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-0.21 (-0.75, 0.33)</w:t>
            </w:r>
          </w:p>
        </w:tc>
        <w:tc>
          <w:tcPr>
            <w:tcW w:w="2844" w:type="dxa"/>
            <w:tcBorders>
              <w:top w:val="single" w:sz="4" w:space="0" w:color="auto"/>
            </w:tcBorders>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-0.22 (-0.80, 0.36)</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 xml:space="preserve">Vegetables </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-0.05 (-0.09, -0.00)</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(-0.08, 0.03)</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-0.07 (-0.13, -0.01)</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Fruit</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(-0.01, 0.04)</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(-0.03, 0.03)</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(-0.00, 0.06)</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Whole grain products</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0.05 (-0.07, 0.16)</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(-0.11, 0.16)</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0.05 (-0.10, 0.19)</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Whole grains/total grains ratio</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(-0.09, 0.12)</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(-0.10, 0.16)</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(-0.12, 0.15)</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Legumes</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(-15.55, 15.57)</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3.67 (-15.05, 22.40)</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-7.82 (-28.09, 12.45)</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Nuts</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-0.95 (-1.52, -0.37)</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-0.65 (-1.36, 0.07)</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lang w:val="en-GB"/>
              </w:rPr>
            </w:pPr>
            <w:r w:rsidRPr="00DF480D">
              <w:rPr>
                <w:rFonts w:ascii="Times New Roman" w:eastAsia="Calibri" w:hAnsi="Times New Roman" w:cs="Times New Roman"/>
                <w:b/>
                <w:sz w:val="20"/>
                <w:szCs w:val="20"/>
                <w:lang w:val="en-GB"/>
              </w:rPr>
              <w:t>-1.10 (-1.87, -0.33)</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Dairy</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(-0.02, 0.06)</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(-0.05, 0.05)</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(-0.03, 0.08)</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Fish</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0.13 (-0.20, 0.46)</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0.18 (-0.22, 0.58)</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-0.11 (-0.54, 0.32)</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Tea</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(-0.05, 0.03)</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(-0.06, 0.03)</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(-0.04, 0.06)</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Unsaturated fats/total fats ratio</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-0.02 (-0.36, 0.32)</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(-0.45, 0.38)</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0.15 (-0.30, 0.60)</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Salt</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(-0.01, 0.01)</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(-0.00, 0.01)</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-0.00 (-0.01, 0.01)</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Alcohol</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-0.05 (-0.67, 0.56)</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-0.33 (-1.07, 0.40)</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0.22 (-0.59, 1.03)</w:t>
            </w:r>
          </w:p>
        </w:tc>
      </w:tr>
      <w:tr w:rsidR="00DF480D" w:rsidRPr="00DF480D" w:rsidTr="00494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Red and processed meat</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(-0.16, 0.22)</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0.16 (-0.07, 0.39)</w:t>
            </w:r>
          </w:p>
        </w:tc>
        <w:tc>
          <w:tcPr>
            <w:tcW w:w="2844" w:type="dxa"/>
            <w:shd w:val="clear" w:color="auto" w:fill="auto"/>
          </w:tcPr>
          <w:p w:rsidR="00DF480D" w:rsidRPr="00DF480D" w:rsidRDefault="00DF480D" w:rsidP="00DF48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-0.01 (-0.26, 0.24)</w:t>
            </w:r>
          </w:p>
        </w:tc>
      </w:tr>
      <w:tr w:rsidR="00DF480D" w:rsidRPr="00DF480D" w:rsidTr="004941C4">
        <w:trPr>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auto"/>
          </w:tcPr>
          <w:p w:rsidR="00DF480D" w:rsidRPr="00DF480D" w:rsidRDefault="00DF480D" w:rsidP="00DF480D">
            <w:pPr>
              <w:spacing w:line="360" w:lineRule="auto"/>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Sugar containing beverages</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0.03 (-0.05, 0.10)</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0.06 (-0.04, 0.15)</w:t>
            </w:r>
          </w:p>
        </w:tc>
        <w:tc>
          <w:tcPr>
            <w:tcW w:w="2844" w:type="dxa"/>
            <w:shd w:val="clear" w:color="auto" w:fill="auto"/>
          </w:tcPr>
          <w:p w:rsidR="00DF480D" w:rsidRPr="00DF480D" w:rsidRDefault="00DF480D" w:rsidP="00DF48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GB"/>
              </w:rPr>
            </w:pPr>
            <w:r w:rsidRPr="00DF480D">
              <w:rPr>
                <w:rFonts w:ascii="Times New Roman" w:eastAsia="Calibri" w:hAnsi="Times New Roman" w:cs="Times New Roman"/>
                <w:sz w:val="20"/>
                <w:szCs w:val="20"/>
                <w:lang w:val="en-GB"/>
              </w:rPr>
              <w:t>-0.06 (-0.17, 0.04)</w:t>
            </w:r>
          </w:p>
        </w:tc>
      </w:tr>
    </w:tbl>
    <w:p w:rsidR="00DF480D" w:rsidRPr="00DF480D" w:rsidRDefault="00DF480D" w:rsidP="00423903">
      <w:pPr>
        <w:spacing w:after="0" w:line="200" w:lineRule="atLeast"/>
        <w:jc w:val="both"/>
        <w:rPr>
          <w:rFonts w:eastAsia="Calibri" w:cstheme="minorHAnsi"/>
          <w:sz w:val="20"/>
          <w:szCs w:val="20"/>
          <w:lang w:val="en-GB"/>
        </w:rPr>
      </w:pPr>
      <w:r w:rsidRPr="00DF480D">
        <w:rPr>
          <w:rFonts w:eastAsia="Calibri" w:cstheme="minorHAnsi"/>
          <w:sz w:val="20"/>
          <w:szCs w:val="20"/>
          <w:lang w:val="en-GB"/>
        </w:rPr>
        <w:t xml:space="preserve">All frequencies (0.25, 0.50, 1, 2, 4, and 8 kHz); low frequencies (0.25, 0.50, and 1 kHz); high frequencies (2, 4, and 8 kHz). Difference represents difference in dB per </w:t>
      </w:r>
      <w:proofErr w:type="gramStart"/>
      <w:r w:rsidRPr="00DF480D">
        <w:rPr>
          <w:rFonts w:eastAsia="Calibri" w:cstheme="minorHAnsi"/>
          <w:sz w:val="20"/>
          <w:szCs w:val="20"/>
          <w:lang w:val="en-GB"/>
        </w:rPr>
        <w:t>1 point</w:t>
      </w:r>
      <w:proofErr w:type="gramEnd"/>
      <w:r w:rsidRPr="00DF480D">
        <w:rPr>
          <w:rFonts w:eastAsia="Calibri" w:cstheme="minorHAnsi"/>
          <w:sz w:val="20"/>
          <w:szCs w:val="20"/>
          <w:lang w:val="en-GB"/>
        </w:rPr>
        <w:t xml:space="preserve"> increase in diet quality score on a scale ranging from 0 to 14 or a 10 gram increase for the individual food components. CI: confidence interval. Adjusted for sex, age at baseline, age</w:t>
      </w:r>
      <w:r w:rsidRPr="00DF480D">
        <w:rPr>
          <w:rFonts w:eastAsia="Calibri" w:cstheme="minorHAnsi"/>
          <w:sz w:val="20"/>
          <w:szCs w:val="20"/>
          <w:vertAlign w:val="superscript"/>
          <w:lang w:val="en-GB"/>
        </w:rPr>
        <w:t>2</w:t>
      </w:r>
      <w:r w:rsidRPr="00DF480D">
        <w:rPr>
          <w:rFonts w:eastAsia="Calibri" w:cstheme="minorHAnsi"/>
          <w:sz w:val="20"/>
          <w:szCs w:val="20"/>
          <w:lang w:val="en-GB"/>
        </w:rPr>
        <w:t xml:space="preserve">, education, time between baseline and follow-up hearing assessment, baseline hearing thresholds, total brain volume, energy intake, physical activity, smoking (former and current), alcohol intake, hypertension, hypercholesterolemia, prevalent diabetes mellitus and BMI (model 3). We did not adjust for alcohol intake in grams in the assessment of alcohol with hearing thresholds. Significant effect estimates (p&lt;0.05) are indicated in </w:t>
      </w:r>
      <w:r w:rsidRPr="00DF480D">
        <w:rPr>
          <w:rFonts w:eastAsia="Calibri" w:cstheme="minorHAnsi"/>
          <w:b/>
          <w:sz w:val="20"/>
          <w:szCs w:val="20"/>
          <w:lang w:val="en-GB"/>
        </w:rPr>
        <w:t>bold</w:t>
      </w:r>
      <w:r w:rsidRPr="00DF480D">
        <w:rPr>
          <w:rFonts w:eastAsia="Calibri" w:cstheme="minorHAnsi"/>
          <w:sz w:val="20"/>
          <w:szCs w:val="20"/>
          <w:lang w:val="en-GB"/>
        </w:rPr>
        <w:t>.</w:t>
      </w:r>
    </w:p>
    <w:p w:rsidR="00D521D9" w:rsidRDefault="00D521D9" w:rsidP="00423903">
      <w:pPr>
        <w:spacing w:line="200" w:lineRule="atLeast"/>
      </w:pPr>
    </w:p>
    <w:sectPr w:rsidR="00D521D9" w:rsidSect="00DF480D">
      <w:pgSz w:w="12240" w:h="15840" w:code="1"/>
      <w:pgMar w:top="1008" w:right="1008" w:bottom="1166"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32"/>
    <w:rsid w:val="0010246B"/>
    <w:rsid w:val="00240DBA"/>
    <w:rsid w:val="00401A79"/>
    <w:rsid w:val="00423903"/>
    <w:rsid w:val="00541B5B"/>
    <w:rsid w:val="00587D5C"/>
    <w:rsid w:val="006C0A96"/>
    <w:rsid w:val="006D439B"/>
    <w:rsid w:val="00754632"/>
    <w:rsid w:val="00886A0C"/>
    <w:rsid w:val="008E2A6F"/>
    <w:rsid w:val="00A210A5"/>
    <w:rsid w:val="00BB7181"/>
    <w:rsid w:val="00BC07FC"/>
    <w:rsid w:val="00BD4BAA"/>
    <w:rsid w:val="00C077CA"/>
    <w:rsid w:val="00C9506C"/>
    <w:rsid w:val="00D521D9"/>
    <w:rsid w:val="00DF480D"/>
    <w:rsid w:val="00E5707F"/>
    <w:rsid w:val="00E86E5A"/>
    <w:rsid w:val="00EE10C3"/>
    <w:rsid w:val="00FA5961"/>
    <w:rsid w:val="00FC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CF41"/>
  <w15:chartTrackingRefBased/>
  <w15:docId w15:val="{2DA06255-2ECF-4D2F-8372-FABEB938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next w:val="LightShading"/>
    <w:uiPriority w:val="60"/>
    <w:rsid w:val="00DF480D"/>
    <w:pPr>
      <w:spacing w:after="0" w:line="240" w:lineRule="auto"/>
    </w:pPr>
    <w:rPr>
      <w:color w:val="000000"/>
      <w:lang w:val="nl-N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DF48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1399</TotalTime>
  <Pages>6</Pages>
  <Words>1734</Words>
  <Characters>9955</Characters>
  <Application>Microsoft Office Word</Application>
  <DocSecurity>0</DocSecurity>
  <Lines>331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Lenchik</dc:creator>
  <cp:keywords/>
  <dc:description/>
  <cp:lastModifiedBy>Lenchik</cp:lastModifiedBy>
  <cp:revision>14</cp:revision>
  <dcterms:created xsi:type="dcterms:W3CDTF">2018-12-26T04:16:00Z</dcterms:created>
  <dcterms:modified xsi:type="dcterms:W3CDTF">2019-01-04T23:35:00Z</dcterms:modified>
</cp:coreProperties>
</file>